
<file path=[Content_Types].xml><?xml version="1.0" encoding="utf-8"?>
<Types xmlns="http://schemas.openxmlformats.org/package/2006/content-types">
  <Default Extension="xml" ContentType="application/xml"/>
  <Default Extension="xls" ContentType="application/vnd.ms-exce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color w:val="000000"/>
          <w:sz w:val="72"/>
          <w:szCs w:val="72"/>
        </w:rPr>
      </w:pPr>
      <w:bookmarkStart w:id="0" w:name="_Toc15306267"/>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adjustRightInd w:val="0"/>
        <w:snapToGrid w:val="0"/>
        <w:spacing w:line="360" w:lineRule="auto"/>
        <w:jc w:val="center"/>
        <w:outlineLvl w:val="0"/>
        <w:rPr>
          <w:rFonts w:hint="eastAsia" w:ascii="黑体" w:eastAsia="黑体"/>
          <w:color w:val="000000"/>
          <w:sz w:val="72"/>
          <w:szCs w:val="72"/>
        </w:rPr>
      </w:pPr>
      <w:bookmarkStart w:id="1" w:name="_Toc15396597"/>
      <w:bookmarkStart w:id="2" w:name="_Toc15377193"/>
      <w:bookmarkStart w:id="3" w:name="_Toc15396475"/>
      <w:bookmarkStart w:id="4" w:name="_Toc15378441"/>
      <w:bookmarkStart w:id="5" w:name="_Toc15377425"/>
      <w:r>
        <w:rPr>
          <w:rFonts w:hint="eastAsia" w:ascii="黑体" w:eastAsia="黑体"/>
          <w:color w:val="000000"/>
          <w:sz w:val="72"/>
          <w:szCs w:val="72"/>
        </w:rPr>
        <w:t>2020年度</w:t>
      </w:r>
      <w:bookmarkEnd w:id="1"/>
      <w:bookmarkEnd w:id="2"/>
      <w:bookmarkEnd w:id="3"/>
      <w:bookmarkEnd w:id="4"/>
      <w:bookmarkEnd w:id="5"/>
    </w:p>
    <w:bookmarkEnd w:id="0"/>
    <w:p>
      <w:pPr>
        <w:adjustRightInd w:val="0"/>
        <w:snapToGrid w:val="0"/>
        <w:spacing w:line="360" w:lineRule="auto"/>
        <w:jc w:val="center"/>
        <w:outlineLvl w:val="0"/>
        <w:rPr>
          <w:rFonts w:hint="eastAsia" w:ascii="黑体" w:eastAsia="黑体"/>
          <w:color w:val="000000"/>
          <w:sz w:val="72"/>
          <w:szCs w:val="72"/>
        </w:rPr>
      </w:pPr>
      <w:bookmarkStart w:id="6" w:name="_Toc15377426"/>
      <w:bookmarkStart w:id="7" w:name="_Toc15396476"/>
      <w:bookmarkStart w:id="8" w:name="_Toc15306268"/>
      <w:bookmarkStart w:id="9" w:name="_Toc15378442"/>
      <w:bookmarkStart w:id="10" w:name="_Toc15377194"/>
      <w:bookmarkStart w:id="11" w:name="_Toc15396598"/>
      <w:r>
        <w:rPr>
          <w:rFonts w:hint="eastAsia" w:ascii="黑体" w:eastAsia="黑体"/>
          <w:color w:val="000000"/>
          <w:sz w:val="72"/>
          <w:szCs w:val="72"/>
        </w:rPr>
        <w:t>阿坝州改革研究中心</w:t>
      </w:r>
    </w:p>
    <w:p>
      <w:pPr>
        <w:adjustRightInd w:val="0"/>
        <w:snapToGrid w:val="0"/>
        <w:spacing w:line="360" w:lineRule="auto"/>
        <w:jc w:val="center"/>
        <w:outlineLvl w:val="0"/>
        <w:rPr>
          <w:rFonts w:hint="eastAsia" w:ascii="黑体" w:eastAsia="黑体"/>
          <w:color w:val="000000"/>
          <w:sz w:val="72"/>
          <w:szCs w:val="72"/>
        </w:rPr>
      </w:pPr>
      <w:r>
        <w:rPr>
          <w:rFonts w:hint="eastAsia" w:ascii="黑体" w:eastAsia="黑体"/>
          <w:color w:val="000000"/>
          <w:sz w:val="72"/>
          <w:szCs w:val="72"/>
        </w:rPr>
        <w:t>部门决算</w:t>
      </w:r>
      <w:bookmarkEnd w:id="6"/>
      <w:bookmarkEnd w:id="7"/>
      <w:bookmarkEnd w:id="8"/>
      <w:bookmarkEnd w:id="9"/>
      <w:bookmarkEnd w:id="10"/>
      <w:bookmarkEnd w:id="11"/>
    </w:p>
    <w:p>
      <w:pPr>
        <w:autoSpaceDE w:val="0"/>
        <w:autoSpaceDN w:val="0"/>
        <w:adjustRightInd w:val="0"/>
        <w:ind w:firstLine="1276"/>
        <w:jc w:val="left"/>
        <w:rPr>
          <w:rFonts w:eastAsia="仿宋_GB2312"/>
          <w:sz w:val="32"/>
          <w:szCs w:val="32"/>
        </w:rPr>
      </w:pPr>
    </w:p>
    <w:p>
      <w:pPr>
        <w:autoSpaceDE w:val="0"/>
        <w:autoSpaceDN w:val="0"/>
        <w:adjustRightInd w:val="0"/>
        <w:ind w:firstLine="1276"/>
        <w:jc w:val="left"/>
        <w:rPr>
          <w:rFonts w:eastAsia="仿宋_GB2312"/>
          <w:sz w:val="32"/>
          <w:szCs w:val="32"/>
        </w:rPr>
      </w:pPr>
    </w:p>
    <w:p>
      <w:pPr>
        <w:pStyle w:val="2"/>
        <w:ind w:left="1060" w:hanging="640"/>
        <w:rPr>
          <w:rFonts w:eastAsia="仿宋_GB2312"/>
          <w:sz w:val="32"/>
          <w:szCs w:val="32"/>
        </w:rPr>
      </w:pPr>
    </w:p>
    <w:p/>
    <w:p>
      <w:pPr>
        <w:autoSpaceDE w:val="0"/>
        <w:autoSpaceDN w:val="0"/>
        <w:adjustRightInd w:val="0"/>
        <w:ind w:firstLine="1276"/>
        <w:jc w:val="left"/>
        <w:rPr>
          <w:rFonts w:eastAsia="仿宋_GB2312"/>
          <w:sz w:val="32"/>
          <w:szCs w:val="32"/>
        </w:rPr>
      </w:pPr>
    </w:p>
    <w:p>
      <w:pPr>
        <w:autoSpaceDE w:val="0"/>
        <w:autoSpaceDN w:val="0"/>
        <w:adjustRightInd w:val="0"/>
        <w:ind w:firstLine="1276"/>
        <w:jc w:val="left"/>
        <w:rPr>
          <w:rFonts w:eastAsia="仿宋_GB2312"/>
          <w:sz w:val="32"/>
          <w:szCs w:val="32"/>
        </w:rPr>
      </w:pPr>
      <w:r>
        <w:rPr>
          <w:rFonts w:eastAsia="仿宋_GB2312"/>
          <w:sz w:val="32"/>
          <w:szCs w:val="32"/>
        </w:rPr>
        <w:t>保密审查情况：已审查，内容审定</w:t>
      </w:r>
    </w:p>
    <w:p>
      <w:pPr>
        <w:autoSpaceDE w:val="0"/>
        <w:autoSpaceDN w:val="0"/>
        <w:adjustRightInd w:val="0"/>
        <w:ind w:firstLine="1276"/>
        <w:jc w:val="left"/>
        <w:rPr>
          <w:rFonts w:eastAsia="仿宋_GB2312"/>
          <w:sz w:val="32"/>
          <w:szCs w:val="32"/>
        </w:rPr>
      </w:pPr>
      <w:r>
        <w:rPr>
          <w:rFonts w:eastAsia="仿宋_GB2312"/>
          <w:sz w:val="32"/>
          <w:szCs w:val="32"/>
        </w:rPr>
        <w:t>部门主要负责人审签情况：已审签，同意对外公开</w:t>
      </w:r>
    </w:p>
    <w:p>
      <w:pPr>
        <w:pStyle w:val="2"/>
        <w:ind w:left="840" w:hanging="420"/>
      </w:pPr>
    </w:p>
    <w:p>
      <w:pPr>
        <w:widowControl/>
        <w:jc w:val="center"/>
        <w:rPr>
          <w:rFonts w:eastAsia="黑体"/>
          <w:color w:val="000000"/>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titlePg/>
          <w:docGrid w:type="lines" w:linePitch="312" w:charSpace="0"/>
        </w:sectPr>
      </w:pPr>
    </w:p>
    <w:p>
      <w:pPr>
        <w:widowControl/>
        <w:jc w:val="center"/>
        <w:rPr>
          <w:rFonts w:eastAsia="黑体"/>
          <w:color w:val="000000"/>
          <w:sz w:val="48"/>
          <w:szCs w:val="48"/>
        </w:rPr>
      </w:pPr>
      <w:r>
        <w:rPr>
          <w:rFonts w:eastAsia="黑体"/>
          <w:color w:val="000000"/>
          <w:sz w:val="48"/>
          <w:szCs w:val="48"/>
        </w:rPr>
        <w:t>目录</w:t>
      </w:r>
    </w:p>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TOC \o "1-2" \h \z \u </w:instrText>
      </w:r>
      <w:r>
        <w:rPr>
          <w:rFonts w:hint="eastAsia" w:ascii="仿宋_GB2312" w:hAnsi="仿宋_GB2312" w:eastAsia="仿宋_GB2312" w:cs="仿宋_GB2312"/>
          <w:color w:val="000000"/>
          <w:sz w:val="28"/>
          <w:szCs w:val="28"/>
        </w:rPr>
        <w:fldChar w:fldCharType="separate"/>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公开时间：2021年9月27日</w:t>
      </w:r>
    </w:p>
    <w:p>
      <w:pPr>
        <w:rPr>
          <w:rFonts w:hint="eastAsia" w:ascii="仿宋_GB2312" w:hAnsi="仿宋_GB2312" w:eastAsia="仿宋_GB2312" w:cs="仿宋_GB2312"/>
          <w:sz w:val="28"/>
          <w:szCs w:val="28"/>
        </w:rPr>
      </w:pP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"_Toc15396599"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第一部分 部门概况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1</w:t>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"_Toc15396600"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一、基本职能及主要工作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"_Toc15396601"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"_Toc15396602"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第二部分 2019年度部门决算情况说明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"_Toc15396603"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bCs/>
          <w:sz w:val="28"/>
          <w:szCs w:val="28"/>
        </w:rPr>
        <w:t>一、</w:t>
      </w:r>
      <w:r>
        <w:rPr>
          <w:rStyle w:val="17"/>
          <w:rFonts w:hint="eastAsia" w:ascii="仿宋_GB2312" w:hAnsi="仿宋_GB2312" w:eastAsia="仿宋_GB2312" w:cs="仿宋_GB2312"/>
          <w:sz w:val="28"/>
          <w:szCs w:val="28"/>
        </w:rPr>
        <w:t>收</w:t>
      </w:r>
      <w:r>
        <w:rPr>
          <w:rStyle w:val="17"/>
          <w:rFonts w:hint="eastAsia" w:ascii="仿宋_GB2312" w:hAnsi="仿宋_GB2312" w:eastAsia="仿宋_GB2312" w:cs="仿宋_GB2312"/>
          <w:bCs/>
          <w:sz w:val="28"/>
          <w:szCs w:val="28"/>
        </w:rPr>
        <w:t>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"_Toc15396604"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bCs/>
          <w:sz w:val="28"/>
          <w:szCs w:val="28"/>
        </w:rPr>
        <w:t>二、</w:t>
      </w:r>
      <w:r>
        <w:rPr>
          <w:rStyle w:val="17"/>
          <w:rFonts w:hint="eastAsia" w:ascii="仿宋_GB2312" w:hAnsi="仿宋_GB2312" w:eastAsia="仿宋_GB2312" w:cs="仿宋_GB2312"/>
          <w:sz w:val="28"/>
          <w:szCs w:val="28"/>
        </w:rPr>
        <w:t>收</w:t>
      </w:r>
      <w:r>
        <w:rPr>
          <w:rStyle w:val="17"/>
          <w:rFonts w:hint="eastAsia" w:ascii="仿宋_GB2312" w:hAnsi="仿宋_GB2312" w:eastAsia="仿宋_GB2312" w:cs="仿宋_GB2312"/>
          <w:bCs/>
          <w:sz w:val="28"/>
          <w:szCs w:val="28"/>
        </w:rPr>
        <w:t>入决算情况说明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"_Toc15396605"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bCs/>
          <w:sz w:val="28"/>
          <w:szCs w:val="28"/>
        </w:rPr>
        <w:t>三、</w:t>
      </w:r>
      <w:r>
        <w:rPr>
          <w:rStyle w:val="17"/>
          <w:rFonts w:hint="eastAsia" w:ascii="仿宋_GB2312" w:hAnsi="仿宋_GB2312" w:eastAsia="仿宋_GB2312" w:cs="仿宋_GB2312"/>
          <w:sz w:val="28"/>
          <w:szCs w:val="28"/>
        </w:rPr>
        <w:t>支</w:t>
      </w:r>
      <w:r>
        <w:rPr>
          <w:rStyle w:val="17"/>
          <w:rFonts w:hint="eastAsia" w:ascii="仿宋_GB2312" w:hAnsi="仿宋_GB2312" w:eastAsia="仿宋_GB2312" w:cs="仿宋_GB2312"/>
          <w:bCs/>
          <w:sz w:val="28"/>
          <w:szCs w:val="28"/>
        </w:rPr>
        <w:t>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"_Toc15396606"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四、财</w:t>
      </w:r>
      <w:r>
        <w:rPr>
          <w:rStyle w:val="17"/>
          <w:rFonts w:hint="eastAsia" w:ascii="仿宋_GB2312" w:hAnsi="仿宋_GB2312" w:eastAsia="仿宋_GB2312" w:cs="仿宋_GB2312"/>
          <w:bCs/>
          <w:sz w:val="28"/>
          <w:szCs w:val="28"/>
        </w:rPr>
        <w:t>政拨款收入支出决算总体情况说明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"_Toc15396607"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五、一</w:t>
      </w:r>
      <w:r>
        <w:rPr>
          <w:rStyle w:val="17"/>
          <w:rFonts w:hint="eastAsia" w:ascii="仿宋_GB2312" w:hAnsi="仿宋_GB2312" w:eastAsia="仿宋_GB2312" w:cs="仿宋_GB2312"/>
          <w:bCs/>
          <w:sz w:val="28"/>
          <w:szCs w:val="28"/>
        </w:rPr>
        <w:t>般公共预算财政拨款支出决算情况说明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"_Toc15396608"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六、一</w:t>
      </w:r>
      <w:r>
        <w:rPr>
          <w:rStyle w:val="17"/>
          <w:rFonts w:hint="eastAsia" w:ascii="仿宋_GB2312" w:hAnsi="仿宋_GB2312" w:eastAsia="仿宋_GB2312" w:cs="仿宋_GB2312"/>
          <w:bCs/>
          <w:sz w:val="28"/>
          <w:szCs w:val="28"/>
        </w:rPr>
        <w:t>般公共预算财政拨款基本支出决算情况说明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"_Toc15396609"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七、“</w:t>
      </w:r>
      <w:r>
        <w:rPr>
          <w:rStyle w:val="17"/>
          <w:rFonts w:hint="eastAsia" w:ascii="仿宋_GB2312" w:hAnsi="仿宋_GB2312" w:eastAsia="仿宋_GB2312" w:cs="仿宋_GB2312"/>
          <w:bCs/>
          <w:sz w:val="28"/>
          <w:szCs w:val="28"/>
        </w:rPr>
        <w:t>三公”经费财政拨款支出决算情况说明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"_Toc15396610"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八、</w:t>
      </w:r>
      <w:r>
        <w:rPr>
          <w:rStyle w:val="17"/>
          <w:rFonts w:hint="eastAsia" w:ascii="仿宋_GB2312" w:hAnsi="仿宋_GB2312" w:eastAsia="仿宋_GB2312" w:cs="仿宋_GB2312"/>
          <w:bCs/>
          <w:sz w:val="28"/>
          <w:szCs w:val="28"/>
        </w:rPr>
        <w:t>政府性基金预算支出决算情况说明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"_Toc15396611"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bCs/>
          <w:sz w:val="28"/>
          <w:szCs w:val="28"/>
        </w:rPr>
        <w:t>九、</w:t>
      </w:r>
      <w:r>
        <w:rPr>
          <w:rStyle w:val="17"/>
          <w:rFonts w:hint="eastAsia" w:ascii="仿宋_GB2312" w:hAnsi="仿宋_GB2312" w:eastAsia="仿宋_GB2312" w:cs="仿宋_GB2312"/>
          <w:sz w:val="28"/>
          <w:szCs w:val="28"/>
        </w:rPr>
        <w:t xml:space="preserve"> 国</w:t>
      </w:r>
      <w:r>
        <w:rPr>
          <w:rStyle w:val="17"/>
          <w:rFonts w:hint="eastAsia" w:ascii="仿宋_GB2312" w:hAnsi="仿宋_GB2312" w:eastAsia="仿宋_GB2312" w:cs="仿宋_GB2312"/>
          <w:bCs/>
          <w:sz w:val="28"/>
          <w:szCs w:val="28"/>
        </w:rPr>
        <w:t>有资本经营预算支出决算情况说明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p>
    <w:p>
      <w:pPr>
        <w:pStyle w:val="12"/>
        <w:rPr>
          <w:rStyle w:val="17"/>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sz w:val="28"/>
          <w:szCs w:val="28"/>
          <w:lang w:val="en-US" w:eastAsia="zh-CN"/>
        </w:rPr>
        <w:t>十、预算绩效情况说明</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"_Toc15396612"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十</w:t>
      </w:r>
      <w:r>
        <w:rPr>
          <w:rStyle w:val="17"/>
          <w:rFonts w:hint="eastAsia" w:ascii="仿宋_GB2312" w:hAnsi="仿宋_GB2312" w:eastAsia="仿宋_GB2312" w:cs="仿宋_GB2312"/>
          <w:bCs/>
          <w:sz w:val="28"/>
          <w:szCs w:val="28"/>
        </w:rPr>
        <w:t>一、其他重要事项的情况说明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"_Toc15396613"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bCs/>
          <w:kern w:val="44"/>
          <w:sz w:val="28"/>
          <w:szCs w:val="28"/>
        </w:rPr>
        <w:t>第三部分</w:t>
      </w:r>
      <w:r>
        <w:rPr>
          <w:rStyle w:val="17"/>
          <w:rFonts w:hint="eastAsia" w:ascii="仿宋_GB2312" w:hAnsi="仿宋_GB2312" w:eastAsia="仿宋_GB2312" w:cs="仿宋_GB2312"/>
          <w:sz w:val="28"/>
          <w:szCs w:val="28"/>
        </w:rPr>
        <w:t xml:space="preserve"> 名</w:t>
      </w:r>
      <w:r>
        <w:rPr>
          <w:rStyle w:val="17"/>
          <w:rFonts w:hint="eastAsia" w:ascii="仿宋_GB2312" w:hAnsi="仿宋_GB2312" w:eastAsia="仿宋_GB2312" w:cs="仿宋_GB2312"/>
          <w:bCs/>
          <w:kern w:val="44"/>
          <w:sz w:val="28"/>
          <w:szCs w:val="28"/>
        </w:rPr>
        <w:t>词解释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"_Toc15396613"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bCs/>
          <w:kern w:val="44"/>
          <w:sz w:val="28"/>
          <w:szCs w:val="28"/>
        </w:rPr>
        <w:t>第</w:t>
      </w:r>
      <w:r>
        <w:rPr>
          <w:rStyle w:val="17"/>
          <w:rFonts w:hint="eastAsia" w:ascii="仿宋_GB2312" w:hAnsi="仿宋_GB2312" w:eastAsia="仿宋_GB2312" w:cs="仿宋_GB2312"/>
          <w:bCs/>
          <w:kern w:val="44"/>
          <w:sz w:val="28"/>
          <w:szCs w:val="28"/>
          <w:lang w:eastAsia="zh-CN"/>
        </w:rPr>
        <w:t>四</w:t>
      </w:r>
      <w:r>
        <w:rPr>
          <w:rStyle w:val="17"/>
          <w:rFonts w:hint="eastAsia" w:ascii="仿宋_GB2312" w:hAnsi="仿宋_GB2312" w:eastAsia="仿宋_GB2312" w:cs="仿宋_GB2312"/>
          <w:bCs/>
          <w:kern w:val="44"/>
          <w:sz w:val="28"/>
          <w:szCs w:val="28"/>
        </w:rPr>
        <w:t>部分</w:t>
      </w:r>
      <w:r>
        <w:rPr>
          <w:rStyle w:val="17"/>
          <w:rFonts w:hint="eastAsia" w:ascii="仿宋_GB2312" w:hAnsi="仿宋_GB2312" w:eastAsia="仿宋_GB2312" w:cs="仿宋_GB2312"/>
          <w:sz w:val="28"/>
          <w:szCs w:val="28"/>
        </w:rPr>
        <w:t xml:space="preserve"> </w:t>
      </w:r>
      <w:r>
        <w:rPr>
          <w:rStyle w:val="17"/>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3</w:t>
      </w:r>
    </w:p>
    <w:p>
      <w:pPr>
        <w:rPr>
          <w:rFonts w:hint="eastAsia"/>
        </w:rPr>
      </w:pPr>
    </w:p>
    <w:p>
      <w:pPr>
        <w:pStyle w:val="11"/>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一、收入支出决算表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3</w:t>
      </w:r>
    </w:p>
    <w:p>
      <w:pPr>
        <w:pStyle w:val="11"/>
        <w:ind w:firstLine="560" w:firstLineChars="200"/>
        <w:jc w:val="both"/>
        <w:rPr>
          <w:rFonts w:hint="default"/>
          <w:lang w:val="en-US" w:eastAsia="zh-CN"/>
        </w:rPr>
      </w:pPr>
      <w:r>
        <w:rPr>
          <w:rFonts w:hint="eastAsia" w:ascii="仿宋_GB2312" w:hAnsi="仿宋_GB2312" w:eastAsia="仿宋_GB2312" w:cs="仿宋_GB2312"/>
          <w:sz w:val="28"/>
          <w:szCs w:val="28"/>
          <w:lang w:eastAsia="zh-CN"/>
        </w:rPr>
        <w:t>二、收入总表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3</w:t>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"_Toc15396621"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支出总表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3</w:t>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"_Toc15396622"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财政拨款收入支出决算总表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3</w:t>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财政拨款支出决算明细表</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3</w:t>
      </w:r>
      <w:bookmarkStart w:id="68" w:name="_GoBack"/>
      <w:bookmarkEnd w:id="68"/>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"_Toc15396624"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一般公共预算财政拨款支出决算表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3</w:t>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"_Toc15396625"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一般公共预算财政拨款支出决算明细表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"_Toc15396626"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一般公共预算财政拨款基本支出决算表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"_Toc15396627"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一般公共预算财政拨款项目支出决算表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"_Toc15396628"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一般公共预算财政拨款“三公”经费支出决算表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"_Toc15396629"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政府性基金预算财政拨款收入支出决算表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"_Toc15396630"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政府性基金预算财政拨款“三公”经费支出决算表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"_Toc15396631"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国有资本经营预算支出决算表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3</w:t>
      </w:r>
    </w:p>
    <w:p>
      <w:pPr>
        <w:widowControl/>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fldChar w:fldCharType="end"/>
      </w:r>
    </w:p>
    <w:p>
      <w:pPr>
        <w:spacing w:line="600" w:lineRule="exact"/>
        <w:jc w:val="center"/>
        <w:outlineLvl w:val="0"/>
        <w:rPr>
          <w:rFonts w:hint="eastAsia" w:ascii="仿宋_GB2312" w:hAnsi="仿宋_GB2312" w:eastAsia="仿宋_GB2312" w:cs="仿宋_GB2312"/>
          <w:b/>
          <w:color w:val="000000"/>
          <w:sz w:val="28"/>
          <w:szCs w:val="28"/>
        </w:rPr>
        <w:sectPr>
          <w:footerReference r:id="rId9" w:type="default"/>
          <w:pgSz w:w="11906" w:h="16838"/>
          <w:pgMar w:top="1440" w:right="1800" w:bottom="1440" w:left="1800" w:header="851" w:footer="992" w:gutter="0"/>
          <w:pgNumType w:fmt="numberInDash" w:start="1"/>
          <w:cols w:space="425" w:num="1"/>
          <w:docGrid w:type="lines" w:linePitch="312" w:charSpace="0"/>
        </w:sectPr>
      </w:pPr>
      <w:bookmarkStart w:id="12" w:name="_Toc15396599"/>
      <w:bookmarkStart w:id="13" w:name="_Toc15377196"/>
    </w:p>
    <w:p>
      <w:pPr>
        <w:spacing w:line="600" w:lineRule="exact"/>
        <w:jc w:val="center"/>
        <w:outlineLvl w:val="0"/>
        <w:rPr>
          <w:rFonts w:eastAsia="黑体"/>
          <w:b/>
          <w:color w:val="000000"/>
          <w:sz w:val="44"/>
          <w:szCs w:val="44"/>
        </w:rPr>
      </w:pPr>
      <w:r>
        <w:rPr>
          <w:rFonts w:eastAsia="黑体"/>
          <w:bCs/>
          <w:color w:val="000000"/>
          <w:sz w:val="44"/>
          <w:szCs w:val="44"/>
        </w:rPr>
        <w:t>第一部分 部门概况</w:t>
      </w:r>
      <w:bookmarkEnd w:id="12"/>
      <w:bookmarkEnd w:id="13"/>
    </w:p>
    <w:p>
      <w:pPr>
        <w:widowControl/>
        <w:spacing w:line="576" w:lineRule="exact"/>
        <w:jc w:val="left"/>
        <w:rPr>
          <w:rFonts w:eastAsia="黑体"/>
          <w:color w:val="000000"/>
          <w:sz w:val="32"/>
          <w:szCs w:val="32"/>
        </w:rPr>
      </w:pPr>
    </w:p>
    <w:p>
      <w:pPr>
        <w:pStyle w:val="4"/>
        <w:spacing w:before="0" w:after="0" w:line="576" w:lineRule="exact"/>
        <w:ind w:firstLine="640" w:firstLineChars="200"/>
        <w:rPr>
          <w:rStyle w:val="27"/>
          <w:rFonts w:ascii="Times New Roman" w:hAnsi="Times New Roman" w:eastAsia="仿宋" w:cs="Times New Roman"/>
          <w:b w:val="0"/>
          <w:bCs w:val="0"/>
        </w:rPr>
      </w:pPr>
      <w:bookmarkStart w:id="14" w:name="_Toc15396600"/>
      <w:bookmarkStart w:id="15" w:name="_Toc15377197"/>
      <w:r>
        <w:rPr>
          <w:rFonts w:ascii="Times New Roman" w:hAnsi="Times New Roman" w:eastAsia="黑体" w:cs="Times New Roman"/>
          <w:b w:val="0"/>
          <w:color w:val="000000"/>
        </w:rPr>
        <w:t>一、基</w:t>
      </w:r>
      <w:r>
        <w:rPr>
          <w:rStyle w:val="27"/>
          <w:rFonts w:ascii="Times New Roman" w:hAnsi="Times New Roman" w:eastAsia="黑体" w:cs="Times New Roman"/>
          <w:b w:val="0"/>
          <w:bCs w:val="0"/>
        </w:rPr>
        <w:t>本职能及主要工作</w:t>
      </w:r>
      <w:bookmarkEnd w:id="14"/>
      <w:bookmarkEnd w:id="15"/>
    </w:p>
    <w:p>
      <w:pPr>
        <w:spacing w:line="576" w:lineRule="exact"/>
        <w:ind w:firstLine="643" w:firstLineChars="200"/>
        <w:rPr>
          <w:rFonts w:eastAsia="仿宋_GB2312"/>
          <w:b/>
          <w:bCs/>
          <w:sz w:val="32"/>
          <w:szCs w:val="32"/>
        </w:rPr>
      </w:pPr>
      <w:r>
        <w:rPr>
          <w:rFonts w:hint="eastAsia" w:eastAsia="仿宋_GB2312"/>
          <w:b/>
          <w:bCs/>
          <w:sz w:val="32"/>
          <w:szCs w:val="32"/>
        </w:rPr>
        <w:t>（一）基本职能</w:t>
      </w:r>
    </w:p>
    <w:p>
      <w:pPr>
        <w:spacing w:line="576" w:lineRule="exact"/>
        <w:ind w:firstLine="640" w:firstLineChars="200"/>
        <w:rPr>
          <w:rFonts w:eastAsia="仿宋"/>
          <w:bCs/>
          <w:color w:val="000000"/>
          <w:sz w:val="32"/>
          <w:szCs w:val="32"/>
        </w:rPr>
      </w:pPr>
      <w:r>
        <w:rPr>
          <w:rFonts w:eastAsia="仿宋_GB2312"/>
          <w:sz w:val="32"/>
          <w:szCs w:val="32"/>
        </w:rPr>
        <w:t>按照州委全面深化改革</w:t>
      </w:r>
      <w:r>
        <w:rPr>
          <w:rFonts w:hint="eastAsia" w:eastAsia="仿宋_GB2312"/>
          <w:sz w:val="32"/>
          <w:szCs w:val="32"/>
        </w:rPr>
        <w:t>委员会</w:t>
      </w:r>
      <w:r>
        <w:rPr>
          <w:rFonts w:eastAsia="仿宋_GB2312"/>
          <w:sz w:val="32"/>
          <w:szCs w:val="32"/>
        </w:rPr>
        <w:t>的安排，收集</w:t>
      </w:r>
      <w:r>
        <w:rPr>
          <w:rFonts w:hint="eastAsia" w:eastAsia="仿宋_GB2312"/>
          <w:sz w:val="32"/>
          <w:szCs w:val="32"/>
        </w:rPr>
        <w:t>9个</w:t>
      </w:r>
      <w:r>
        <w:rPr>
          <w:rFonts w:eastAsia="仿宋_GB2312"/>
          <w:sz w:val="32"/>
          <w:szCs w:val="32"/>
        </w:rPr>
        <w:t>改革专项小组开展全面深化改革重大问题的政策研究问题及成果；汇总有关改革问题的信息资料，及时跟踪改革热点、追踪理论前沿、解读重大政策、展示基层亮点；收集编发州内外深化改革工作经验；协调或参与有关研究机构和专家学者就改革重要问题进行研究和咨询；完成州委全面深化改革</w:t>
      </w:r>
      <w:r>
        <w:rPr>
          <w:rFonts w:hint="eastAsia" w:eastAsia="仿宋_GB2312"/>
          <w:sz w:val="32"/>
          <w:szCs w:val="32"/>
        </w:rPr>
        <w:t>委员会</w:t>
      </w:r>
      <w:r>
        <w:rPr>
          <w:rFonts w:eastAsia="仿宋_GB2312"/>
          <w:sz w:val="32"/>
          <w:szCs w:val="32"/>
        </w:rPr>
        <w:t>交办的其他工作。</w:t>
      </w:r>
    </w:p>
    <w:p>
      <w:pPr>
        <w:spacing w:line="576" w:lineRule="exact"/>
        <w:ind w:firstLine="643" w:firstLineChars="200"/>
        <w:rPr>
          <w:rFonts w:eastAsia="仿宋_GB2312"/>
          <w:b/>
          <w:bCs/>
          <w:sz w:val="32"/>
          <w:szCs w:val="32"/>
        </w:rPr>
      </w:pPr>
      <w:bookmarkStart w:id="16" w:name="_Toc15378446"/>
      <w:bookmarkStart w:id="17" w:name="_Toc15377199"/>
      <w:r>
        <w:rPr>
          <w:rFonts w:hint="eastAsia" w:eastAsia="仿宋_GB2312"/>
          <w:b/>
          <w:bCs/>
          <w:sz w:val="32"/>
          <w:szCs w:val="32"/>
        </w:rPr>
        <w:t>（二）</w:t>
      </w:r>
      <w:r>
        <w:rPr>
          <w:rFonts w:eastAsia="仿宋_GB2312"/>
          <w:b/>
          <w:bCs/>
          <w:sz w:val="32"/>
          <w:szCs w:val="32"/>
        </w:rPr>
        <w:t>20</w:t>
      </w:r>
      <w:r>
        <w:rPr>
          <w:rFonts w:hint="eastAsia" w:eastAsia="仿宋_GB2312"/>
          <w:b/>
          <w:bCs/>
          <w:sz w:val="32"/>
          <w:szCs w:val="32"/>
        </w:rPr>
        <w:t>20</w:t>
      </w:r>
      <w:r>
        <w:rPr>
          <w:rFonts w:eastAsia="仿宋_GB2312"/>
          <w:b/>
          <w:bCs/>
          <w:sz w:val="32"/>
          <w:szCs w:val="32"/>
        </w:rPr>
        <w:t>年重点工作完成情况</w:t>
      </w:r>
      <w:bookmarkEnd w:id="16"/>
      <w:bookmarkEnd w:id="17"/>
    </w:p>
    <w:p>
      <w:pPr>
        <w:pStyle w:val="6"/>
        <w:adjustRightInd w:val="0"/>
        <w:snapToGrid w:val="0"/>
        <w:spacing w:beforeLines="0" w:line="576" w:lineRule="exact"/>
        <w:ind w:firstLine="672" w:firstLineChars="210"/>
        <w:outlineLvl w:val="2"/>
        <w:rPr>
          <w:rFonts w:ascii="Times New Roman"/>
          <w:kern w:val="2"/>
          <w:sz w:val="32"/>
          <w:szCs w:val="32"/>
        </w:rPr>
      </w:pPr>
      <w:r>
        <w:rPr>
          <w:rFonts w:ascii="Times New Roman"/>
          <w:kern w:val="2"/>
          <w:sz w:val="32"/>
          <w:szCs w:val="32"/>
        </w:rPr>
        <w:t>按全州机构改革工作统一部署，成立州委全面深化改革委员会，充实完善深改委、专项小组成员，调整牵头单位、成员单位责任人。严格对标中央和省部署的改革任务，制定年度工作要点和改革落实台账，高质量完成年度改革任务27项。继续推进党政领导直接抓方案落实机制，明确州领导直接抓落实专项改革方案</w:t>
      </w:r>
      <w:r>
        <w:rPr>
          <w:rFonts w:hint="eastAsia" w:ascii="Times New Roman"/>
          <w:kern w:val="2"/>
          <w:sz w:val="32"/>
          <w:szCs w:val="32"/>
        </w:rPr>
        <w:t>23</w:t>
      </w:r>
      <w:r>
        <w:rPr>
          <w:rFonts w:ascii="Times New Roman"/>
          <w:kern w:val="2"/>
          <w:sz w:val="32"/>
          <w:szCs w:val="32"/>
        </w:rPr>
        <w:t>个，承接中央、省、州部署的重大改革试点1</w:t>
      </w:r>
      <w:r>
        <w:rPr>
          <w:rFonts w:hint="eastAsia" w:ascii="Times New Roman"/>
          <w:kern w:val="2"/>
          <w:sz w:val="32"/>
          <w:szCs w:val="32"/>
        </w:rPr>
        <w:t>4</w:t>
      </w:r>
      <w:r>
        <w:rPr>
          <w:rFonts w:ascii="Times New Roman"/>
          <w:kern w:val="2"/>
          <w:sz w:val="32"/>
          <w:szCs w:val="32"/>
        </w:rPr>
        <w:t>项，</w:t>
      </w:r>
      <w:r>
        <w:rPr>
          <w:rFonts w:hint="eastAsia" w:ascii="Times New Roman"/>
          <w:kern w:val="2"/>
          <w:sz w:val="32"/>
          <w:szCs w:val="32"/>
        </w:rPr>
        <w:t>创新</w:t>
      </w:r>
      <w:r>
        <w:rPr>
          <w:rFonts w:ascii="Times New Roman"/>
          <w:kern w:val="2"/>
          <w:sz w:val="32"/>
          <w:szCs w:val="32"/>
        </w:rPr>
        <w:t>推出“四圈四同”环境资源司法品牌等具有阿坝特色的</w:t>
      </w:r>
      <w:r>
        <w:rPr>
          <w:rFonts w:hint="eastAsia" w:ascii="Times New Roman"/>
          <w:kern w:val="2"/>
          <w:sz w:val="32"/>
          <w:szCs w:val="32"/>
        </w:rPr>
        <w:t>改革</w:t>
      </w:r>
      <w:r>
        <w:rPr>
          <w:rFonts w:ascii="Times New Roman"/>
          <w:kern w:val="2"/>
          <w:sz w:val="32"/>
          <w:szCs w:val="32"/>
        </w:rPr>
        <w:t>举措12项</w:t>
      </w:r>
      <w:r>
        <w:rPr>
          <w:rFonts w:hint="eastAsia" w:ascii="Times New Roman"/>
          <w:kern w:val="2"/>
          <w:sz w:val="32"/>
          <w:szCs w:val="32"/>
        </w:rPr>
        <w:t>。</w:t>
      </w:r>
      <w:r>
        <w:rPr>
          <w:rFonts w:ascii="Times New Roman"/>
          <w:kern w:val="2"/>
          <w:sz w:val="32"/>
          <w:szCs w:val="32"/>
        </w:rPr>
        <w:t>认领省委深改委会议审议通过需市（州）对接的专项改革方案16个，</w:t>
      </w:r>
      <w:r>
        <w:rPr>
          <w:rFonts w:hint="eastAsia" w:ascii="Times New Roman"/>
          <w:kern w:val="2"/>
          <w:sz w:val="32"/>
          <w:szCs w:val="32"/>
        </w:rPr>
        <w:t>对</w:t>
      </w:r>
      <w:r>
        <w:rPr>
          <w:rFonts w:ascii="Times New Roman"/>
          <w:kern w:val="2"/>
          <w:sz w:val="32"/>
          <w:szCs w:val="32"/>
        </w:rPr>
        <w:t>接率100%。</w:t>
      </w:r>
      <w:r>
        <w:rPr>
          <w:rFonts w:hint="eastAsia" w:ascii="Times New Roman"/>
          <w:kern w:val="2"/>
          <w:sz w:val="32"/>
          <w:szCs w:val="32"/>
        </w:rPr>
        <w:t>扎实开展全面深化改革督察督导，开展“面对面”“清单式”专项督察9批次。组织州、县60人次赴中国人民大学进行改革能力培训提升，努力培养阿坝改革骨干力量。</w:t>
      </w:r>
      <w:r>
        <w:rPr>
          <w:rFonts w:ascii="Times New Roman"/>
          <w:kern w:val="2"/>
          <w:sz w:val="32"/>
          <w:szCs w:val="32"/>
        </w:rPr>
        <w:t>深度挖掘改革经验，编发《阿坝改革动态》2</w:t>
      </w:r>
      <w:r>
        <w:rPr>
          <w:rFonts w:hint="eastAsia" w:ascii="Times New Roman"/>
          <w:kern w:val="2"/>
          <w:sz w:val="32"/>
          <w:szCs w:val="32"/>
        </w:rPr>
        <w:t>2</w:t>
      </w:r>
      <w:r>
        <w:rPr>
          <w:rFonts w:ascii="Times New Roman"/>
          <w:kern w:val="2"/>
          <w:sz w:val="32"/>
          <w:szCs w:val="32"/>
        </w:rPr>
        <w:t>期，总结报送《阿坝改革信息专报》</w:t>
      </w:r>
      <w:r>
        <w:rPr>
          <w:rFonts w:hint="eastAsia" w:ascii="Times New Roman"/>
          <w:kern w:val="2"/>
          <w:sz w:val="32"/>
          <w:szCs w:val="32"/>
        </w:rPr>
        <w:t>38</w:t>
      </w:r>
      <w:r>
        <w:rPr>
          <w:rFonts w:ascii="Times New Roman"/>
          <w:kern w:val="2"/>
          <w:sz w:val="32"/>
          <w:szCs w:val="32"/>
        </w:rPr>
        <w:t>期，其中，《</w:t>
      </w:r>
      <w:r>
        <w:rPr>
          <w:rFonts w:hint="eastAsia" w:ascii="Times New Roman"/>
          <w:kern w:val="2"/>
          <w:sz w:val="32"/>
          <w:szCs w:val="32"/>
        </w:rPr>
        <w:t>阿坝州创新打造“四圈四同”环资审判品牌</w:t>
      </w:r>
      <w:r>
        <w:rPr>
          <w:rFonts w:ascii="Times New Roman"/>
          <w:kern w:val="2"/>
          <w:sz w:val="32"/>
          <w:szCs w:val="32"/>
        </w:rPr>
        <w:t>》《</w:t>
      </w:r>
      <w:r>
        <w:rPr>
          <w:rFonts w:hint="eastAsia" w:ascii="Times New Roman"/>
          <w:kern w:val="2"/>
          <w:sz w:val="32"/>
          <w:szCs w:val="32"/>
        </w:rPr>
        <w:t>四川茂县“党建联盟”联通城乡治理“微细胞”</w:t>
      </w:r>
      <w:r>
        <w:rPr>
          <w:rFonts w:ascii="Times New Roman"/>
          <w:kern w:val="2"/>
          <w:sz w:val="32"/>
          <w:szCs w:val="32"/>
        </w:rPr>
        <w:t>》</w:t>
      </w:r>
      <w:r>
        <w:rPr>
          <w:rFonts w:hint="eastAsia" w:ascii="Times New Roman"/>
          <w:kern w:val="2"/>
          <w:sz w:val="32"/>
          <w:szCs w:val="32"/>
        </w:rPr>
        <w:t>等信息被省委改革办采用</w:t>
      </w:r>
      <w:r>
        <w:rPr>
          <w:rFonts w:ascii="Times New Roman"/>
          <w:kern w:val="2"/>
          <w:sz w:val="32"/>
          <w:szCs w:val="32"/>
        </w:rPr>
        <w:t>。</w:t>
      </w:r>
    </w:p>
    <w:p>
      <w:pPr>
        <w:pStyle w:val="4"/>
        <w:spacing w:before="0" w:after="0" w:line="576" w:lineRule="exact"/>
        <w:ind w:firstLine="640" w:firstLineChars="200"/>
        <w:rPr>
          <w:rStyle w:val="27"/>
          <w:rFonts w:ascii="Times New Roman" w:hAnsi="Times New Roman" w:cs="Times New Roman"/>
          <w:b w:val="0"/>
          <w:bCs w:val="0"/>
        </w:rPr>
      </w:pPr>
      <w:bookmarkStart w:id="18" w:name="_Toc15377200"/>
      <w:bookmarkStart w:id="19" w:name="_Toc15396601"/>
      <w:r>
        <w:rPr>
          <w:rFonts w:ascii="Times New Roman" w:hAnsi="Times New Roman" w:eastAsia="黑体" w:cs="Times New Roman"/>
          <w:b w:val="0"/>
          <w:color w:val="000000"/>
        </w:rPr>
        <w:t>二、机</w:t>
      </w:r>
      <w:r>
        <w:rPr>
          <w:rStyle w:val="27"/>
          <w:rFonts w:ascii="Times New Roman" w:hAnsi="Times New Roman" w:eastAsia="黑体" w:cs="Times New Roman"/>
          <w:b w:val="0"/>
          <w:bCs w:val="0"/>
        </w:rPr>
        <w:t>构设置</w:t>
      </w:r>
      <w:bookmarkEnd w:id="18"/>
      <w:bookmarkEnd w:id="19"/>
    </w:p>
    <w:p>
      <w:pPr>
        <w:spacing w:line="576" w:lineRule="exact"/>
        <w:ind w:firstLine="640" w:firstLineChars="200"/>
        <w:rPr>
          <w:rFonts w:eastAsia="仿宋"/>
          <w:sz w:val="32"/>
          <w:szCs w:val="32"/>
        </w:rPr>
      </w:pPr>
      <w:r>
        <w:rPr>
          <w:rFonts w:eastAsia="仿宋_GB2312"/>
          <w:sz w:val="32"/>
          <w:szCs w:val="32"/>
        </w:rPr>
        <w:t>本科室属二级预算单位，编制数为4名，</w:t>
      </w:r>
      <w:r>
        <w:rPr>
          <w:rFonts w:hint="eastAsia" w:eastAsia="仿宋_GB2312"/>
          <w:sz w:val="32"/>
          <w:szCs w:val="32"/>
        </w:rPr>
        <w:t>2020年</w:t>
      </w:r>
      <w:r>
        <w:rPr>
          <w:rFonts w:eastAsia="仿宋_GB2312"/>
          <w:sz w:val="32"/>
          <w:szCs w:val="32"/>
        </w:rPr>
        <w:t>年末在职职工</w:t>
      </w:r>
      <w:r>
        <w:rPr>
          <w:rFonts w:hint="eastAsia" w:eastAsia="仿宋_GB2312"/>
          <w:sz w:val="32"/>
          <w:szCs w:val="32"/>
        </w:rPr>
        <w:t>1</w:t>
      </w:r>
      <w:r>
        <w:rPr>
          <w:rFonts w:eastAsia="仿宋_GB2312"/>
          <w:sz w:val="32"/>
          <w:szCs w:val="32"/>
        </w:rPr>
        <w:t>人。</w:t>
      </w:r>
    </w:p>
    <w:p>
      <w:pPr>
        <w:widowControl/>
        <w:jc w:val="left"/>
        <w:rPr>
          <w:rFonts w:eastAsia="仿宋"/>
          <w:color w:val="000000"/>
          <w:kern w:val="0"/>
          <w:sz w:val="32"/>
          <w:szCs w:val="32"/>
        </w:rPr>
      </w:pPr>
      <w:r>
        <w:rPr>
          <w:rFonts w:eastAsia="仿宋"/>
          <w:color w:val="000000"/>
          <w:sz w:val="32"/>
          <w:szCs w:val="32"/>
        </w:rPr>
        <w:br w:type="page"/>
      </w:r>
    </w:p>
    <w:p>
      <w:pPr>
        <w:pStyle w:val="3"/>
        <w:ind w:right="440"/>
        <w:jc w:val="right"/>
        <w:rPr>
          <w:rStyle w:val="26"/>
          <w:rFonts w:eastAsia="黑体"/>
          <w:b w:val="0"/>
          <w:bCs w:val="0"/>
        </w:rPr>
      </w:pPr>
      <w:bookmarkStart w:id="20" w:name="_Toc15377204"/>
      <w:bookmarkStart w:id="21" w:name="_Toc15396602"/>
      <w:r>
        <w:rPr>
          <w:rFonts w:eastAsia="黑体"/>
          <w:b w:val="0"/>
          <w:color w:val="000000"/>
        </w:rPr>
        <w:t>第二部分</w:t>
      </w:r>
      <w:r>
        <w:rPr>
          <w:rFonts w:eastAsia="黑体"/>
          <w:color w:val="000000"/>
        </w:rPr>
        <w:t xml:space="preserve"> </w:t>
      </w:r>
      <w:r>
        <w:rPr>
          <w:rStyle w:val="26"/>
          <w:rFonts w:eastAsia="黑体"/>
          <w:b w:val="0"/>
          <w:bCs w:val="0"/>
        </w:rPr>
        <w:t>20</w:t>
      </w:r>
      <w:r>
        <w:rPr>
          <w:rStyle w:val="26"/>
          <w:rFonts w:hint="eastAsia" w:eastAsia="黑体"/>
          <w:b w:val="0"/>
          <w:bCs w:val="0"/>
        </w:rPr>
        <w:t>20</w:t>
      </w:r>
      <w:r>
        <w:rPr>
          <w:rStyle w:val="26"/>
          <w:rFonts w:eastAsia="黑体"/>
          <w:b w:val="0"/>
          <w:bCs w:val="0"/>
        </w:rPr>
        <w:t>年度部门决算情况说明</w:t>
      </w:r>
      <w:bookmarkEnd w:id="20"/>
      <w:bookmarkEnd w:id="21"/>
    </w:p>
    <w:p/>
    <w:p>
      <w:pPr>
        <w:pStyle w:val="25"/>
        <w:numPr>
          <w:ilvl w:val="0"/>
          <w:numId w:val="1"/>
        </w:numPr>
        <w:spacing w:line="600" w:lineRule="exact"/>
        <w:ind w:firstLineChars="0"/>
        <w:outlineLvl w:val="1"/>
        <w:rPr>
          <w:rStyle w:val="27"/>
          <w:rFonts w:ascii="Times New Roman" w:hAnsi="Times New Roman" w:eastAsia="黑体" w:cs="Times New Roman"/>
          <w:b w:val="0"/>
        </w:rPr>
      </w:pPr>
      <w:bookmarkStart w:id="22" w:name="_Toc15377205"/>
      <w:bookmarkStart w:id="23" w:name="_Toc15396603"/>
      <w:r>
        <w:rPr>
          <w:rFonts w:eastAsia="黑体"/>
          <w:color w:val="000000"/>
          <w:sz w:val="32"/>
          <w:szCs w:val="32"/>
        </w:rPr>
        <w:t>收</w:t>
      </w:r>
      <w:r>
        <w:rPr>
          <w:rStyle w:val="27"/>
          <w:rFonts w:ascii="Times New Roman" w:hAnsi="Times New Roman" w:eastAsia="黑体" w:cs="Times New Roman"/>
          <w:b w:val="0"/>
        </w:rPr>
        <w:t>入支出决算总体情况说明</w:t>
      </w:r>
      <w:bookmarkEnd w:id="22"/>
      <w:bookmarkEnd w:id="23"/>
    </w:p>
    <w:p>
      <w:pPr>
        <w:spacing w:line="600" w:lineRule="exact"/>
        <w:ind w:firstLine="640" w:firstLineChars="200"/>
        <w:rPr>
          <w:rFonts w:eastAsia="仿宋"/>
          <w:color w:val="000000"/>
          <w:sz w:val="32"/>
          <w:szCs w:val="32"/>
        </w:rPr>
      </w:pP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年我中心本年收</w:t>
      </w:r>
      <w:r>
        <w:rPr>
          <w:rFonts w:hint="eastAsia" w:eastAsia="仿宋_GB2312"/>
          <w:color w:val="000000"/>
          <w:sz w:val="32"/>
          <w:szCs w:val="32"/>
        </w:rPr>
        <w:t>支</w:t>
      </w:r>
      <w:r>
        <w:rPr>
          <w:rFonts w:eastAsia="仿宋_GB2312"/>
          <w:color w:val="000000"/>
          <w:sz w:val="32"/>
          <w:szCs w:val="32"/>
        </w:rPr>
        <w:t>合计</w:t>
      </w:r>
      <w:r>
        <w:rPr>
          <w:rFonts w:hint="eastAsia" w:eastAsia="仿宋_GB2312"/>
          <w:color w:val="000000"/>
          <w:sz w:val="32"/>
          <w:szCs w:val="32"/>
        </w:rPr>
        <w:t>18.52</w:t>
      </w:r>
      <w:r>
        <w:rPr>
          <w:rFonts w:eastAsia="仿宋_GB2312"/>
          <w:color w:val="000000"/>
          <w:sz w:val="32"/>
          <w:szCs w:val="32"/>
        </w:rPr>
        <w:t>万元</w:t>
      </w:r>
      <w:r>
        <w:rPr>
          <w:rFonts w:hint="eastAsia" w:eastAsia="仿宋_GB2312"/>
          <w:color w:val="000000"/>
          <w:sz w:val="32"/>
          <w:szCs w:val="32"/>
        </w:rPr>
        <w:t>，与2019年相比，收、支总计各</w:t>
      </w:r>
      <w:r>
        <w:rPr>
          <w:rFonts w:hint="eastAsia" w:ascii="宋体" w:hAnsi="宋体" w:cs="宋体"/>
          <w:color w:val="000000"/>
          <w:sz w:val="32"/>
          <w:szCs w:val="32"/>
        </w:rPr>
        <w:t>减少13.88</w:t>
      </w:r>
      <w:r>
        <w:rPr>
          <w:rFonts w:hint="eastAsia" w:eastAsia="仿宋_GB2312"/>
          <w:color w:val="000000"/>
          <w:sz w:val="32"/>
          <w:szCs w:val="32"/>
        </w:rPr>
        <w:t>万元，</w:t>
      </w:r>
      <w:r>
        <w:rPr>
          <w:rFonts w:hint="eastAsia" w:ascii="宋体" w:hAnsi="宋体" w:cs="宋体"/>
          <w:color w:val="000000"/>
          <w:sz w:val="32"/>
          <w:szCs w:val="32"/>
        </w:rPr>
        <w:t>减少42.8</w:t>
      </w:r>
      <w:r>
        <w:rPr>
          <w:rFonts w:hint="eastAsia" w:eastAsia="仿宋_GB2312"/>
          <w:color w:val="000000"/>
          <w:sz w:val="32"/>
          <w:szCs w:val="32"/>
        </w:rPr>
        <w:t>%。</w:t>
      </w:r>
    </w:p>
    <w:p>
      <w:pPr>
        <w:pStyle w:val="2"/>
        <w:ind w:left="840" w:hanging="420"/>
      </w:pPr>
      <w: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
      <w:pPr>
        <w:pStyle w:val="25"/>
        <w:numPr>
          <w:ilvl w:val="0"/>
          <w:numId w:val="1"/>
        </w:numPr>
        <w:spacing w:line="600" w:lineRule="exact"/>
        <w:ind w:firstLineChars="0"/>
        <w:outlineLvl w:val="1"/>
        <w:rPr>
          <w:rStyle w:val="27"/>
          <w:rFonts w:ascii="Times New Roman" w:hAnsi="Times New Roman" w:eastAsia="黑体" w:cs="Times New Roman"/>
          <w:b w:val="0"/>
        </w:rPr>
      </w:pPr>
      <w:bookmarkStart w:id="24" w:name="_Toc15377206"/>
      <w:bookmarkStart w:id="25" w:name="_Toc15396604"/>
      <w:r>
        <w:rPr>
          <w:rFonts w:eastAsia="黑体"/>
          <w:color w:val="000000"/>
          <w:sz w:val="32"/>
          <w:szCs w:val="32"/>
        </w:rPr>
        <w:t>收</w:t>
      </w:r>
      <w:r>
        <w:rPr>
          <w:rStyle w:val="27"/>
          <w:rFonts w:ascii="Times New Roman" w:hAnsi="Times New Roman" w:eastAsia="黑体" w:cs="Times New Roman"/>
          <w:b w:val="0"/>
        </w:rPr>
        <w:t>入决算情况说明</w:t>
      </w:r>
      <w:bookmarkEnd w:id="24"/>
      <w:bookmarkEnd w:id="25"/>
    </w:p>
    <w:p>
      <w:pPr>
        <w:spacing w:line="600" w:lineRule="exact"/>
        <w:ind w:firstLine="640" w:firstLineChars="200"/>
        <w:outlineLvl w:val="1"/>
        <w:rPr>
          <w:rFonts w:eastAsia="仿宋"/>
          <w:color w:val="000000"/>
          <w:sz w:val="32"/>
          <w:szCs w:val="32"/>
        </w:rPr>
      </w:pPr>
      <w:r>
        <w:rPr>
          <w:rFonts w:eastAsia="仿宋"/>
          <w:color w:val="000000"/>
          <w:sz w:val="32"/>
          <w:szCs w:val="32"/>
        </w:rPr>
        <w:t>20</w:t>
      </w:r>
      <w:r>
        <w:rPr>
          <w:rFonts w:hint="eastAsia" w:eastAsia="仿宋"/>
          <w:color w:val="000000"/>
          <w:sz w:val="32"/>
          <w:szCs w:val="32"/>
        </w:rPr>
        <w:t>20</w:t>
      </w:r>
      <w:r>
        <w:rPr>
          <w:rFonts w:eastAsia="仿宋"/>
          <w:color w:val="000000"/>
          <w:sz w:val="32"/>
          <w:szCs w:val="32"/>
        </w:rPr>
        <w:t>年本年收入合计</w:t>
      </w:r>
      <w:r>
        <w:rPr>
          <w:rFonts w:hint="eastAsia" w:eastAsia="仿宋"/>
          <w:color w:val="000000"/>
          <w:sz w:val="32"/>
          <w:szCs w:val="32"/>
        </w:rPr>
        <w:t>18.52</w:t>
      </w:r>
      <w:r>
        <w:rPr>
          <w:rFonts w:eastAsia="仿宋"/>
          <w:color w:val="000000"/>
          <w:sz w:val="32"/>
          <w:szCs w:val="32"/>
        </w:rPr>
        <w:t>万元，其中：一般公共预算财政拨款收入</w:t>
      </w:r>
      <w:r>
        <w:rPr>
          <w:rFonts w:hint="eastAsia" w:eastAsia="仿宋"/>
          <w:color w:val="000000"/>
          <w:sz w:val="32"/>
          <w:szCs w:val="32"/>
        </w:rPr>
        <w:t>18.52</w:t>
      </w:r>
      <w:r>
        <w:rPr>
          <w:rFonts w:eastAsia="仿宋"/>
          <w:color w:val="000000"/>
          <w:sz w:val="32"/>
          <w:szCs w:val="32"/>
        </w:rPr>
        <w:t>万元，占100%。</w:t>
      </w:r>
    </w:p>
    <w:p>
      <w:pPr>
        <w:pStyle w:val="2"/>
        <w:ind w:left="840" w:hanging="420"/>
      </w:pPr>
    </w:p>
    <w:p>
      <w:pPr>
        <w:pStyle w:val="2"/>
        <w:ind w:left="1060" w:hanging="640"/>
      </w:pPr>
      <w:r>
        <w:rPr>
          <w:rFonts w:eastAsia="仿宋_GB2312"/>
          <w:color w:val="000000"/>
          <w:sz w:val="32"/>
          <w:szCs w:val="32"/>
        </w:rPr>
        <w:pict>
          <v:shape id="_x0000_s1029" o:spid="_x0000_s1029" o:spt="75" type="#_x0000_t75" style="position:absolute;left:0pt;margin-left:23.65pt;margin-top:15.15pt;height:255.9pt;width:382.9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14" o:title=""/>
            <o:lock v:ext="edit" aspectratio="t"/>
            <w10:wrap type="tight"/>
          </v:shape>
          <o:OLEObject Type="Embed" ProgID="Excel.Chart.8" ShapeID="_x0000_s1029" DrawAspect="Content" ObjectID="_1468075725" r:id="rId13">
            <o:LockedField>false</o:LockedField>
          </o:OLEObject>
        </w:pict>
      </w:r>
    </w:p>
    <w:p/>
    <w:p>
      <w:pPr>
        <w:pStyle w:val="25"/>
        <w:numPr>
          <w:ilvl w:val="0"/>
          <w:numId w:val="1"/>
        </w:numPr>
        <w:spacing w:line="600" w:lineRule="exact"/>
        <w:ind w:firstLineChars="0"/>
        <w:outlineLvl w:val="1"/>
        <w:rPr>
          <w:rStyle w:val="27"/>
          <w:rFonts w:ascii="Times New Roman" w:hAnsi="Times New Roman" w:eastAsia="黑体" w:cs="Times New Roman"/>
          <w:b w:val="0"/>
        </w:rPr>
      </w:pPr>
      <w:bookmarkStart w:id="26" w:name="_Toc15377207"/>
      <w:bookmarkStart w:id="27" w:name="_Toc15396605"/>
      <w:r>
        <w:rPr>
          <w:rFonts w:eastAsia="黑体"/>
          <w:color w:val="000000"/>
          <w:sz w:val="32"/>
          <w:szCs w:val="32"/>
        </w:rPr>
        <w:t>支</w:t>
      </w:r>
      <w:r>
        <w:rPr>
          <w:rStyle w:val="27"/>
          <w:rFonts w:ascii="Times New Roman" w:hAnsi="Times New Roman" w:eastAsia="黑体" w:cs="Times New Roman"/>
          <w:b w:val="0"/>
        </w:rPr>
        <w:t>出决算情况说明</w:t>
      </w:r>
      <w:bookmarkEnd w:id="26"/>
      <w:bookmarkEnd w:id="27"/>
    </w:p>
    <w:p>
      <w:pPr>
        <w:spacing w:line="600" w:lineRule="exact"/>
        <w:ind w:firstLine="640"/>
        <w:rPr>
          <w:rFonts w:eastAsia="仿宋"/>
          <w:color w:val="000000"/>
          <w:sz w:val="32"/>
          <w:szCs w:val="32"/>
          <w:shd w:val="pct10" w:color="auto" w:fill="FFFFFF"/>
        </w:rPr>
      </w:pPr>
      <w:r>
        <w:rPr>
          <w:rFonts w:eastAsia="仿宋_GB2312"/>
          <w:color w:val="000000"/>
          <w:sz w:val="32"/>
          <w:szCs w:val="32"/>
        </w:rPr>
        <w:pict>
          <v:shape id="_x0000_s1031" o:spid="_x0000_s1031" o:spt="75" type="#_x0000_t75" style="position:absolute;left:0pt;margin-left:97.15pt;margin-top:453.5pt;height:197.3pt;width:258.45pt;mso-position-vertical-relative:page;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6" o:title=""/>
            <o:lock v:ext="edit" aspectratio="t"/>
            <w10:wrap type="square"/>
          </v:shape>
          <o:OLEObject Type="Embed" ProgID="Excel.Chart.8" ShapeID="_x0000_s1031" DrawAspect="Content" ObjectID="_1468075726" r:id="rId15">
            <o:LockedField>false</o:LockedField>
          </o:OLEObject>
        </w:pict>
      </w:r>
      <w:r>
        <w:rPr>
          <w:rFonts w:eastAsia="仿宋"/>
          <w:color w:val="000000"/>
          <w:sz w:val="32"/>
          <w:szCs w:val="32"/>
        </w:rPr>
        <w:t>20</w:t>
      </w:r>
      <w:r>
        <w:rPr>
          <w:rFonts w:hint="eastAsia" w:eastAsia="仿宋"/>
          <w:color w:val="000000"/>
          <w:sz w:val="32"/>
          <w:szCs w:val="32"/>
        </w:rPr>
        <w:t>20</w:t>
      </w:r>
      <w:r>
        <w:rPr>
          <w:rFonts w:eastAsia="仿宋"/>
          <w:color w:val="000000"/>
          <w:sz w:val="32"/>
          <w:szCs w:val="32"/>
        </w:rPr>
        <w:t>年本年支出合计</w:t>
      </w:r>
      <w:r>
        <w:rPr>
          <w:rFonts w:hint="eastAsia" w:eastAsia="仿宋"/>
          <w:color w:val="000000"/>
          <w:sz w:val="32"/>
          <w:szCs w:val="32"/>
        </w:rPr>
        <w:t>18.52</w:t>
      </w:r>
      <w:r>
        <w:rPr>
          <w:rFonts w:eastAsia="仿宋"/>
          <w:color w:val="000000"/>
          <w:sz w:val="32"/>
          <w:szCs w:val="32"/>
        </w:rPr>
        <w:t>万元，其中：基本支出</w:t>
      </w:r>
      <w:r>
        <w:rPr>
          <w:rFonts w:hint="eastAsia" w:eastAsia="仿宋"/>
          <w:color w:val="000000"/>
          <w:sz w:val="32"/>
          <w:szCs w:val="32"/>
        </w:rPr>
        <w:t>18.52</w:t>
      </w:r>
      <w:r>
        <w:rPr>
          <w:rFonts w:eastAsia="仿宋"/>
          <w:color w:val="000000"/>
          <w:sz w:val="32"/>
          <w:szCs w:val="32"/>
        </w:rPr>
        <w:t>万元，占100%。</w:t>
      </w:r>
    </w:p>
    <w:p>
      <w:pPr>
        <w:spacing w:line="600" w:lineRule="exact"/>
        <w:ind w:firstLine="640" w:firstLineChars="200"/>
        <w:rPr>
          <w:rFonts w:eastAsia="仿宋_GB2312"/>
          <w:color w:val="FF0000"/>
          <w:sz w:val="32"/>
          <w:szCs w:val="32"/>
        </w:rPr>
      </w:pPr>
    </w:p>
    <w:p>
      <w:pPr>
        <w:pStyle w:val="2"/>
        <w:ind w:left="0" w:leftChars="0" w:firstLine="0" w:firstLineChars="0"/>
        <w:rPr>
          <w:rFonts w:eastAsia="仿宋_GB2312"/>
          <w:color w:val="FF0000"/>
          <w:sz w:val="32"/>
          <w:szCs w:val="32"/>
        </w:rPr>
      </w:pPr>
    </w:p>
    <w:p>
      <w:pPr>
        <w:rPr>
          <w:rFonts w:eastAsia="仿宋_GB2312"/>
          <w:color w:val="FF0000"/>
          <w:sz w:val="32"/>
          <w:szCs w:val="32"/>
        </w:rPr>
      </w:pPr>
    </w:p>
    <w:p>
      <w:pPr>
        <w:pStyle w:val="2"/>
        <w:ind w:left="1060" w:hanging="640"/>
        <w:rPr>
          <w:rFonts w:eastAsia="仿宋_GB2312"/>
          <w:color w:val="FF0000"/>
          <w:sz w:val="32"/>
          <w:szCs w:val="32"/>
        </w:rPr>
      </w:pPr>
    </w:p>
    <w:p>
      <w:pPr>
        <w:rPr>
          <w:rFonts w:eastAsia="仿宋_GB2312"/>
          <w:color w:val="FF0000"/>
          <w:sz w:val="32"/>
          <w:szCs w:val="32"/>
        </w:rPr>
      </w:pPr>
    </w:p>
    <w:p>
      <w:pPr>
        <w:pStyle w:val="2"/>
        <w:ind w:left="1060" w:hanging="640"/>
        <w:rPr>
          <w:rFonts w:eastAsia="仿宋_GB2312"/>
          <w:color w:val="FF0000"/>
          <w:sz w:val="32"/>
          <w:szCs w:val="32"/>
        </w:rPr>
      </w:pPr>
    </w:p>
    <w:p/>
    <w:p>
      <w:pPr>
        <w:spacing w:line="600" w:lineRule="exact"/>
        <w:ind w:firstLine="640" w:firstLineChars="200"/>
        <w:outlineLvl w:val="1"/>
        <w:rPr>
          <w:rStyle w:val="27"/>
          <w:rFonts w:ascii="Times New Roman" w:hAnsi="Times New Roman" w:eastAsia="黑体" w:cs="Times New Roman"/>
          <w:b w:val="0"/>
        </w:rPr>
      </w:pPr>
      <w:bookmarkStart w:id="28" w:name="_Toc15396606"/>
      <w:bookmarkStart w:id="29" w:name="_Toc15377208"/>
      <w:r>
        <w:rPr>
          <w:rFonts w:eastAsia="黑体"/>
          <w:color w:val="000000"/>
          <w:sz w:val="32"/>
          <w:szCs w:val="32"/>
        </w:rPr>
        <w:t>四、财</w:t>
      </w:r>
      <w:r>
        <w:rPr>
          <w:rStyle w:val="27"/>
          <w:rFonts w:ascii="Times New Roman" w:hAnsi="Times New Roman" w:eastAsia="黑体" w:cs="Times New Roman"/>
          <w:b w:val="0"/>
        </w:rPr>
        <w:t>政拨款收入支出决算总体情况说明</w:t>
      </w:r>
      <w:bookmarkEnd w:id="28"/>
      <w:bookmarkEnd w:id="29"/>
    </w:p>
    <w:p>
      <w:pPr>
        <w:spacing w:line="600" w:lineRule="exact"/>
        <w:ind w:firstLine="640" w:firstLineChars="200"/>
        <w:rPr>
          <w:rFonts w:eastAsia="仿宋"/>
          <w:color w:val="000000"/>
          <w:sz w:val="32"/>
          <w:szCs w:val="32"/>
        </w:rPr>
      </w:pPr>
      <w:r>
        <w:rPr>
          <w:rFonts w:eastAsia="仿宋"/>
          <w:color w:val="000000"/>
          <w:sz w:val="32"/>
          <w:szCs w:val="32"/>
        </w:rPr>
        <w:t>20</w:t>
      </w:r>
      <w:r>
        <w:rPr>
          <w:rFonts w:hint="eastAsia" w:eastAsia="仿宋"/>
          <w:color w:val="000000"/>
          <w:sz w:val="32"/>
          <w:szCs w:val="32"/>
        </w:rPr>
        <w:t>20</w:t>
      </w:r>
      <w:r>
        <w:rPr>
          <w:rFonts w:eastAsia="仿宋"/>
          <w:color w:val="000000"/>
          <w:sz w:val="32"/>
          <w:szCs w:val="32"/>
        </w:rPr>
        <w:t>年财政拨款收、支总计</w:t>
      </w:r>
      <w:r>
        <w:rPr>
          <w:rFonts w:hint="eastAsia" w:eastAsia="仿宋"/>
          <w:color w:val="000000"/>
          <w:sz w:val="32"/>
          <w:szCs w:val="32"/>
        </w:rPr>
        <w:t>18.52</w:t>
      </w:r>
      <w:r>
        <w:rPr>
          <w:rFonts w:eastAsia="仿宋"/>
          <w:color w:val="000000"/>
          <w:sz w:val="32"/>
          <w:szCs w:val="32"/>
        </w:rPr>
        <w:t>万元。与201</w:t>
      </w:r>
      <w:r>
        <w:rPr>
          <w:rFonts w:hint="eastAsia" w:eastAsia="仿宋"/>
          <w:color w:val="000000"/>
          <w:sz w:val="32"/>
          <w:szCs w:val="32"/>
        </w:rPr>
        <w:t>9</w:t>
      </w:r>
      <w:r>
        <w:rPr>
          <w:rFonts w:eastAsia="仿宋"/>
          <w:color w:val="000000"/>
          <w:sz w:val="32"/>
          <w:szCs w:val="32"/>
        </w:rPr>
        <w:t>年相比，财政拨款收、支总计</w:t>
      </w:r>
      <w:r>
        <w:rPr>
          <w:rFonts w:hint="eastAsia" w:eastAsia="仿宋_GB2312"/>
          <w:color w:val="000000"/>
          <w:sz w:val="32"/>
          <w:szCs w:val="32"/>
        </w:rPr>
        <w:t>各</w:t>
      </w:r>
      <w:r>
        <w:rPr>
          <w:rFonts w:hint="eastAsia" w:ascii="宋体" w:hAnsi="宋体" w:cs="宋体"/>
          <w:color w:val="000000"/>
          <w:sz w:val="32"/>
          <w:szCs w:val="32"/>
        </w:rPr>
        <w:t>减少13.88</w:t>
      </w:r>
      <w:r>
        <w:rPr>
          <w:rFonts w:hint="eastAsia" w:eastAsia="仿宋_GB2312"/>
          <w:color w:val="000000"/>
          <w:sz w:val="32"/>
          <w:szCs w:val="32"/>
        </w:rPr>
        <w:t>万元，</w:t>
      </w:r>
      <w:r>
        <w:rPr>
          <w:rFonts w:hint="eastAsia" w:ascii="宋体" w:hAnsi="宋体" w:cs="宋体"/>
          <w:color w:val="000000"/>
          <w:sz w:val="32"/>
          <w:szCs w:val="32"/>
        </w:rPr>
        <w:t>减少42.8</w:t>
      </w:r>
      <w:r>
        <w:rPr>
          <w:rFonts w:hint="eastAsia" w:eastAsia="仿宋_GB2312"/>
          <w:color w:val="000000"/>
          <w:sz w:val="32"/>
          <w:szCs w:val="32"/>
        </w:rPr>
        <w:t>%。</w:t>
      </w:r>
    </w:p>
    <w:p>
      <w:pPr>
        <w:spacing w:line="600" w:lineRule="exact"/>
        <w:ind w:firstLine="640" w:firstLineChars="200"/>
        <w:rPr>
          <w:rFonts w:eastAsia="仿宋"/>
          <w:color w:val="000000"/>
          <w:sz w:val="32"/>
          <w:szCs w:val="32"/>
        </w:rPr>
      </w:pPr>
    </w:p>
    <w:p>
      <w:pPr>
        <w:pStyle w:val="2"/>
        <w:ind w:left="1060" w:hanging="640"/>
        <w:rPr>
          <w:rFonts w:eastAsia="仿宋"/>
          <w:color w:val="000000"/>
          <w:sz w:val="32"/>
          <w:szCs w:val="32"/>
        </w:rPr>
      </w:pPr>
      <w:r>
        <w:rPr>
          <w:rFonts w:eastAsia="仿宋_GB2312"/>
          <w:color w:val="000000"/>
          <w:sz w:val="32"/>
          <w:szCs w:val="32"/>
        </w:rPr>
        <w:pict>
          <v:shape id="_x0000_s1033" o:spid="_x0000_s1033" o:spt="75" type="#_x0000_t75" style="position:absolute;left:0pt;margin-left:62.45pt;margin-top:18.9pt;height:199.35pt;width:289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18" o:title=""/>
            <o:lock v:ext="edit" aspectratio="t"/>
            <w10:wrap type="square"/>
          </v:shape>
          <o:OLEObject Type="Embed" ProgID="Excel.Chart.8" ShapeID="_x0000_s1033" DrawAspect="Content" ObjectID="_1468075727" r:id="rId17">
            <o:LockedField>false</o:LockedField>
          </o:OLEObject>
        </w:pict>
      </w:r>
    </w:p>
    <w:p>
      <w:pPr>
        <w:rPr>
          <w:rFonts w:eastAsia="仿宋"/>
          <w:color w:val="000000"/>
          <w:sz w:val="32"/>
          <w:szCs w:val="32"/>
        </w:rPr>
      </w:pPr>
    </w:p>
    <w:p>
      <w:pPr>
        <w:pStyle w:val="2"/>
        <w:ind w:left="840" w:hanging="420"/>
      </w:pPr>
    </w:p>
    <w:p>
      <w:pPr>
        <w:rPr>
          <w:rFonts w:eastAsia="仿宋"/>
          <w:color w:val="000000"/>
          <w:sz w:val="32"/>
          <w:szCs w:val="32"/>
        </w:rPr>
      </w:pPr>
    </w:p>
    <w:p>
      <w:pPr>
        <w:pStyle w:val="2"/>
        <w:ind w:left="1060" w:hanging="640"/>
        <w:rPr>
          <w:rFonts w:eastAsia="仿宋"/>
          <w:color w:val="000000"/>
          <w:sz w:val="32"/>
          <w:szCs w:val="32"/>
        </w:rPr>
      </w:pPr>
    </w:p>
    <w:p>
      <w:pPr>
        <w:rPr>
          <w:rFonts w:eastAsia="仿宋"/>
          <w:color w:val="000000"/>
          <w:sz w:val="32"/>
          <w:szCs w:val="32"/>
        </w:rPr>
      </w:pPr>
    </w:p>
    <w:p>
      <w:pPr>
        <w:pStyle w:val="2"/>
        <w:ind w:left="1060" w:hanging="640"/>
        <w:rPr>
          <w:rFonts w:eastAsia="仿宋"/>
          <w:color w:val="000000"/>
          <w:sz w:val="32"/>
          <w:szCs w:val="32"/>
        </w:rPr>
      </w:pPr>
    </w:p>
    <w:p>
      <w:pPr>
        <w:spacing w:line="600" w:lineRule="exact"/>
        <w:rPr>
          <w:rFonts w:eastAsia="仿宋"/>
          <w:b/>
          <w:color w:val="00B050"/>
          <w:sz w:val="32"/>
          <w:szCs w:val="32"/>
        </w:rPr>
      </w:pPr>
    </w:p>
    <w:p>
      <w:pPr>
        <w:pStyle w:val="2"/>
        <w:ind w:left="840" w:hanging="420"/>
      </w:pPr>
    </w:p>
    <w:p/>
    <w:p>
      <w:pPr>
        <w:spacing w:line="600" w:lineRule="exact"/>
        <w:ind w:firstLine="640" w:firstLineChars="200"/>
        <w:outlineLvl w:val="1"/>
        <w:rPr>
          <w:rStyle w:val="27"/>
          <w:rFonts w:ascii="Times New Roman" w:hAnsi="Times New Roman" w:eastAsia="黑体" w:cs="Times New Roman"/>
          <w:b w:val="0"/>
        </w:rPr>
      </w:pPr>
      <w:bookmarkStart w:id="30" w:name="_Toc15396607"/>
      <w:bookmarkStart w:id="31" w:name="_Toc15377209"/>
      <w:r>
        <w:rPr>
          <w:rFonts w:eastAsia="黑体"/>
          <w:color w:val="000000"/>
          <w:sz w:val="32"/>
          <w:szCs w:val="32"/>
        </w:rPr>
        <w:t>五、</w:t>
      </w:r>
      <w:r>
        <w:rPr>
          <w:rFonts w:eastAsia="黑体"/>
          <w:b/>
          <w:color w:val="000000"/>
          <w:sz w:val="32"/>
          <w:szCs w:val="32"/>
        </w:rPr>
        <w:t>一</w:t>
      </w:r>
      <w:r>
        <w:rPr>
          <w:rStyle w:val="27"/>
          <w:rFonts w:ascii="Times New Roman" w:hAnsi="Times New Roman" w:eastAsia="黑体" w:cs="Times New Roman"/>
          <w:b w:val="0"/>
        </w:rPr>
        <w:t>般公共预算财政拨款支出决算情况说明</w:t>
      </w:r>
      <w:bookmarkEnd w:id="30"/>
      <w:bookmarkEnd w:id="31"/>
    </w:p>
    <w:p>
      <w:pPr>
        <w:spacing w:line="600" w:lineRule="exact"/>
        <w:ind w:firstLine="643" w:firstLineChars="200"/>
        <w:outlineLvl w:val="2"/>
        <w:rPr>
          <w:rFonts w:eastAsia="仿宋"/>
          <w:b/>
          <w:color w:val="000000"/>
          <w:sz w:val="32"/>
          <w:szCs w:val="32"/>
        </w:rPr>
      </w:pPr>
      <w:bookmarkStart w:id="32" w:name="_Toc15377210"/>
      <w:r>
        <w:rPr>
          <w:rFonts w:eastAsia="仿宋"/>
          <w:b/>
          <w:color w:val="000000"/>
          <w:sz w:val="32"/>
          <w:szCs w:val="32"/>
        </w:rPr>
        <w:t>（一）一般公共预算财政拨款支出决算总体情况</w:t>
      </w:r>
      <w:bookmarkEnd w:id="32"/>
    </w:p>
    <w:p>
      <w:pPr>
        <w:spacing w:line="600" w:lineRule="exact"/>
        <w:ind w:firstLine="640" w:firstLineChars="200"/>
        <w:rPr>
          <w:rFonts w:eastAsia="仿宋"/>
          <w:color w:val="000000"/>
          <w:sz w:val="32"/>
          <w:szCs w:val="32"/>
        </w:rPr>
      </w:pPr>
      <w:r>
        <w:rPr>
          <w:rFonts w:eastAsia="仿宋"/>
          <w:color w:val="000000"/>
          <w:sz w:val="32"/>
          <w:szCs w:val="32"/>
        </w:rPr>
        <w:t>20</w:t>
      </w:r>
      <w:r>
        <w:rPr>
          <w:rFonts w:hint="eastAsia" w:eastAsia="仿宋"/>
          <w:color w:val="000000"/>
          <w:sz w:val="32"/>
          <w:szCs w:val="32"/>
        </w:rPr>
        <w:t>20</w:t>
      </w:r>
      <w:r>
        <w:rPr>
          <w:rFonts w:eastAsia="仿宋"/>
          <w:color w:val="000000"/>
          <w:sz w:val="32"/>
          <w:szCs w:val="32"/>
        </w:rPr>
        <w:t>年一般公共预算财政拨款支出</w:t>
      </w:r>
      <w:r>
        <w:rPr>
          <w:rFonts w:hint="eastAsia" w:eastAsia="仿宋"/>
          <w:color w:val="000000"/>
          <w:sz w:val="32"/>
          <w:szCs w:val="32"/>
        </w:rPr>
        <w:t>18.52</w:t>
      </w:r>
      <w:r>
        <w:rPr>
          <w:rFonts w:eastAsia="仿宋"/>
          <w:color w:val="000000"/>
          <w:sz w:val="32"/>
          <w:szCs w:val="32"/>
        </w:rPr>
        <w:t>万元，占本年支出合计的 100.03%。与201</w:t>
      </w:r>
      <w:r>
        <w:rPr>
          <w:rFonts w:hint="eastAsia" w:eastAsia="仿宋"/>
          <w:color w:val="000000"/>
          <w:sz w:val="32"/>
          <w:szCs w:val="32"/>
        </w:rPr>
        <w:t>9</w:t>
      </w:r>
      <w:r>
        <w:rPr>
          <w:rFonts w:eastAsia="仿宋"/>
          <w:color w:val="000000"/>
          <w:sz w:val="32"/>
          <w:szCs w:val="32"/>
        </w:rPr>
        <w:t>年相比，一般公共预算财政拨款</w:t>
      </w:r>
      <w:r>
        <w:rPr>
          <w:rFonts w:hint="eastAsia" w:eastAsia="仿宋"/>
          <w:color w:val="000000"/>
          <w:sz w:val="32"/>
          <w:szCs w:val="32"/>
        </w:rPr>
        <w:t>减少13.88</w:t>
      </w:r>
      <w:r>
        <w:rPr>
          <w:rFonts w:eastAsia="仿宋"/>
          <w:color w:val="000000"/>
          <w:sz w:val="32"/>
          <w:szCs w:val="32"/>
        </w:rPr>
        <w:t>万元，</w:t>
      </w:r>
      <w:r>
        <w:rPr>
          <w:rFonts w:hint="eastAsia" w:eastAsia="仿宋"/>
          <w:color w:val="000000"/>
          <w:sz w:val="32"/>
          <w:szCs w:val="32"/>
        </w:rPr>
        <w:t>减少42.8</w:t>
      </w:r>
      <w:r>
        <w:rPr>
          <w:rFonts w:eastAsia="仿宋"/>
          <w:color w:val="000000"/>
          <w:sz w:val="32"/>
          <w:szCs w:val="32"/>
        </w:rPr>
        <w:t>%。</w:t>
      </w:r>
    </w:p>
    <w:p>
      <w:pPr>
        <w:spacing w:line="600" w:lineRule="exact"/>
        <w:ind w:firstLine="640" w:firstLineChars="200"/>
        <w:rPr>
          <w:rFonts w:eastAsia="仿宋"/>
          <w:color w:val="000000"/>
          <w:sz w:val="32"/>
          <w:szCs w:val="32"/>
        </w:rPr>
      </w:pPr>
      <w:r>
        <w:rPr>
          <w:rFonts w:eastAsia="仿宋_GB2312"/>
          <w:color w:val="000000"/>
          <w:sz w:val="32"/>
          <w:szCs w:val="32"/>
        </w:rPr>
        <w:pict>
          <v:shape id="_x0000_s1035" o:spid="_x0000_s1035" o:spt="75" type="#_x0000_t75" style="position:absolute;left:0pt;margin-left:74pt;margin-top:10.7pt;height:211.6pt;width:289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joinstyle="miter"/>
            <v:imagedata r:id="rId20" o:title=""/>
            <o:lock v:ext="edit" aspectratio="t"/>
            <w10:wrap type="tight"/>
          </v:shape>
          <o:OLEObject Type="Embed" ProgID="Excel.Chart.8" ShapeID="_x0000_s1035" DrawAspect="Content" ObjectID="_1468075728" r:id="rId19">
            <o:LockedField>false</o:LockedField>
          </o:OLEObject>
        </w:pict>
      </w:r>
    </w:p>
    <w:p>
      <w:pPr>
        <w:spacing w:line="600" w:lineRule="exact"/>
        <w:ind w:firstLine="640" w:firstLineChars="200"/>
        <w:rPr>
          <w:rFonts w:eastAsia="仿宋"/>
          <w:color w:val="000000"/>
          <w:sz w:val="32"/>
          <w:szCs w:val="32"/>
        </w:rPr>
      </w:pPr>
    </w:p>
    <w:p>
      <w:pPr>
        <w:pStyle w:val="2"/>
        <w:ind w:left="1060" w:hanging="640"/>
        <w:rPr>
          <w:rFonts w:eastAsia="仿宋"/>
          <w:color w:val="000000"/>
          <w:sz w:val="32"/>
          <w:szCs w:val="32"/>
        </w:rPr>
      </w:pPr>
    </w:p>
    <w:p>
      <w:pPr>
        <w:rPr>
          <w:rFonts w:eastAsia="仿宋"/>
          <w:color w:val="000000"/>
          <w:sz w:val="32"/>
          <w:szCs w:val="32"/>
        </w:rPr>
      </w:pPr>
    </w:p>
    <w:p>
      <w:pPr>
        <w:pStyle w:val="2"/>
        <w:ind w:left="1060" w:hanging="640"/>
        <w:rPr>
          <w:rFonts w:eastAsia="仿宋"/>
          <w:color w:val="000000"/>
          <w:sz w:val="32"/>
          <w:szCs w:val="32"/>
        </w:rPr>
      </w:pPr>
    </w:p>
    <w:p>
      <w:pPr>
        <w:pStyle w:val="2"/>
        <w:ind w:left="206" w:leftChars="4" w:hanging="198" w:hangingChars="62"/>
        <w:rPr>
          <w:rFonts w:eastAsia="仿宋"/>
          <w:color w:val="000000"/>
          <w:sz w:val="32"/>
          <w:szCs w:val="32"/>
        </w:rPr>
      </w:pPr>
    </w:p>
    <w:p>
      <w:pPr>
        <w:spacing w:line="600" w:lineRule="exact"/>
        <w:ind w:firstLine="643" w:firstLineChars="200"/>
        <w:outlineLvl w:val="2"/>
        <w:rPr>
          <w:rFonts w:eastAsia="仿宋"/>
          <w:b/>
          <w:color w:val="000000"/>
          <w:sz w:val="32"/>
          <w:szCs w:val="32"/>
        </w:rPr>
      </w:pPr>
      <w:bookmarkStart w:id="33" w:name="_Toc15377211"/>
      <w:r>
        <w:rPr>
          <w:rFonts w:eastAsia="仿宋"/>
          <w:b/>
          <w:color w:val="000000"/>
          <w:sz w:val="32"/>
          <w:szCs w:val="32"/>
        </w:rPr>
        <w:t>（二）一般公共预算财政拨款支出决算结构情况</w:t>
      </w:r>
      <w:bookmarkEnd w:id="33"/>
    </w:p>
    <w:p>
      <w:pPr>
        <w:spacing w:line="600" w:lineRule="exact"/>
        <w:ind w:firstLine="640"/>
        <w:rPr>
          <w:rFonts w:eastAsia="仿宋"/>
          <w:color w:val="000000" w:themeColor="text1"/>
          <w:sz w:val="32"/>
          <w:szCs w:val="32"/>
        </w:rPr>
      </w:pPr>
      <w:r>
        <w:rPr>
          <w:rFonts w:eastAsia="仿宋"/>
          <w:color w:val="000000"/>
          <w:sz w:val="32"/>
          <w:szCs w:val="32"/>
        </w:rPr>
        <w:t>20</w:t>
      </w:r>
      <w:r>
        <w:rPr>
          <w:rFonts w:hint="eastAsia" w:eastAsia="仿宋"/>
          <w:color w:val="000000"/>
          <w:sz w:val="32"/>
          <w:szCs w:val="32"/>
        </w:rPr>
        <w:t>20</w:t>
      </w:r>
      <w:r>
        <w:rPr>
          <w:rFonts w:eastAsia="仿宋"/>
          <w:color w:val="000000"/>
          <w:sz w:val="32"/>
          <w:szCs w:val="32"/>
        </w:rPr>
        <w:t>年一般公共预算财</w:t>
      </w:r>
      <w:r>
        <w:rPr>
          <w:rFonts w:eastAsia="仿宋"/>
          <w:color w:val="000000" w:themeColor="text1"/>
          <w:sz w:val="32"/>
          <w:szCs w:val="32"/>
        </w:rPr>
        <w:t>政拨款支出</w:t>
      </w:r>
      <w:r>
        <w:rPr>
          <w:rFonts w:hint="eastAsia" w:eastAsia="仿宋"/>
          <w:color w:val="000000" w:themeColor="text1"/>
          <w:sz w:val="32"/>
          <w:szCs w:val="32"/>
        </w:rPr>
        <w:t>18.52</w:t>
      </w:r>
      <w:r>
        <w:rPr>
          <w:rFonts w:eastAsia="仿宋"/>
          <w:color w:val="000000" w:themeColor="text1"/>
          <w:sz w:val="32"/>
          <w:szCs w:val="32"/>
        </w:rPr>
        <w:t>万元，主要用于以下方面:</w:t>
      </w:r>
      <w:r>
        <w:rPr>
          <w:rFonts w:eastAsia="仿宋"/>
          <w:b/>
          <w:color w:val="000000" w:themeColor="text1"/>
          <w:sz w:val="32"/>
          <w:szCs w:val="32"/>
        </w:rPr>
        <w:t>一般公共服务（类）</w:t>
      </w:r>
      <w:r>
        <w:rPr>
          <w:rFonts w:eastAsia="仿宋"/>
          <w:color w:val="000000" w:themeColor="text1"/>
          <w:sz w:val="32"/>
          <w:szCs w:val="32"/>
        </w:rPr>
        <w:t>支出</w:t>
      </w:r>
      <w:r>
        <w:rPr>
          <w:rFonts w:hint="eastAsia" w:eastAsia="仿宋"/>
          <w:color w:val="000000" w:themeColor="text1"/>
          <w:sz w:val="32"/>
          <w:szCs w:val="32"/>
        </w:rPr>
        <w:t>14.02</w:t>
      </w:r>
      <w:r>
        <w:rPr>
          <w:rFonts w:eastAsia="仿宋"/>
          <w:color w:val="000000" w:themeColor="text1"/>
          <w:sz w:val="32"/>
          <w:szCs w:val="32"/>
        </w:rPr>
        <w:t>万元，占</w:t>
      </w:r>
      <w:r>
        <w:rPr>
          <w:rFonts w:hint="eastAsia" w:eastAsia="仿宋"/>
          <w:color w:val="000000" w:themeColor="text1"/>
          <w:sz w:val="32"/>
          <w:szCs w:val="32"/>
        </w:rPr>
        <w:t>75.7</w:t>
      </w:r>
      <w:r>
        <w:rPr>
          <w:rFonts w:eastAsia="仿宋"/>
          <w:color w:val="000000" w:themeColor="text1"/>
          <w:sz w:val="32"/>
          <w:szCs w:val="32"/>
        </w:rPr>
        <w:t>%；</w:t>
      </w:r>
      <w:r>
        <w:rPr>
          <w:rFonts w:eastAsia="仿宋"/>
          <w:b/>
          <w:color w:val="000000" w:themeColor="text1"/>
          <w:sz w:val="32"/>
          <w:szCs w:val="32"/>
        </w:rPr>
        <w:t>社会保障和就业（类）</w:t>
      </w:r>
      <w:r>
        <w:rPr>
          <w:rFonts w:eastAsia="仿宋"/>
          <w:color w:val="000000" w:themeColor="text1"/>
          <w:sz w:val="32"/>
          <w:szCs w:val="32"/>
        </w:rPr>
        <w:t>支出</w:t>
      </w:r>
      <w:r>
        <w:rPr>
          <w:rFonts w:hint="eastAsia" w:eastAsia="仿宋"/>
          <w:color w:val="000000" w:themeColor="text1"/>
          <w:sz w:val="32"/>
          <w:szCs w:val="32"/>
        </w:rPr>
        <w:t>2.08</w:t>
      </w:r>
      <w:r>
        <w:rPr>
          <w:rFonts w:eastAsia="仿宋"/>
          <w:color w:val="000000" w:themeColor="text1"/>
          <w:sz w:val="32"/>
          <w:szCs w:val="32"/>
        </w:rPr>
        <w:t>万元，占</w:t>
      </w:r>
      <w:r>
        <w:rPr>
          <w:rFonts w:hint="eastAsia" w:eastAsia="仿宋"/>
          <w:color w:val="000000" w:themeColor="text1"/>
          <w:sz w:val="32"/>
          <w:szCs w:val="32"/>
        </w:rPr>
        <w:t>11.23</w:t>
      </w:r>
      <w:r>
        <w:rPr>
          <w:rFonts w:eastAsia="仿宋"/>
          <w:color w:val="000000" w:themeColor="text1"/>
          <w:sz w:val="32"/>
          <w:szCs w:val="32"/>
        </w:rPr>
        <w:t>%；医疗卫生支出</w:t>
      </w:r>
      <w:r>
        <w:rPr>
          <w:rFonts w:hint="eastAsia" w:eastAsia="仿宋"/>
          <w:color w:val="000000" w:themeColor="text1"/>
          <w:sz w:val="32"/>
          <w:szCs w:val="32"/>
        </w:rPr>
        <w:t>0.69</w:t>
      </w:r>
      <w:r>
        <w:rPr>
          <w:rFonts w:eastAsia="仿宋"/>
          <w:color w:val="000000" w:themeColor="text1"/>
          <w:sz w:val="32"/>
          <w:szCs w:val="32"/>
        </w:rPr>
        <w:t>万元，占</w:t>
      </w:r>
      <w:r>
        <w:rPr>
          <w:rFonts w:hint="eastAsia" w:eastAsia="仿宋"/>
          <w:color w:val="000000" w:themeColor="text1"/>
          <w:sz w:val="32"/>
          <w:szCs w:val="32"/>
        </w:rPr>
        <w:t>3.72</w:t>
      </w:r>
      <w:r>
        <w:rPr>
          <w:rFonts w:eastAsia="仿宋"/>
          <w:color w:val="000000" w:themeColor="text1"/>
          <w:sz w:val="32"/>
          <w:szCs w:val="32"/>
        </w:rPr>
        <w:t>%；住房保障支出</w:t>
      </w:r>
      <w:r>
        <w:rPr>
          <w:rFonts w:hint="eastAsia" w:eastAsia="仿宋"/>
          <w:color w:val="000000" w:themeColor="text1"/>
          <w:sz w:val="32"/>
          <w:szCs w:val="32"/>
        </w:rPr>
        <w:t>1.37</w:t>
      </w:r>
      <w:r>
        <w:rPr>
          <w:rFonts w:eastAsia="仿宋"/>
          <w:color w:val="000000" w:themeColor="text1"/>
          <w:sz w:val="32"/>
          <w:szCs w:val="32"/>
        </w:rPr>
        <w:t>万元，占</w:t>
      </w:r>
      <w:r>
        <w:rPr>
          <w:rFonts w:hint="eastAsia" w:eastAsia="仿宋"/>
          <w:color w:val="000000" w:themeColor="text1"/>
          <w:sz w:val="32"/>
          <w:szCs w:val="32"/>
        </w:rPr>
        <w:t>7.4</w:t>
      </w:r>
      <w:r>
        <w:rPr>
          <w:rFonts w:eastAsia="仿宋"/>
          <w:color w:val="000000" w:themeColor="text1"/>
          <w:sz w:val="32"/>
          <w:szCs w:val="32"/>
        </w:rPr>
        <w:t>%。</w:t>
      </w:r>
    </w:p>
    <w:p>
      <w:pPr>
        <w:pStyle w:val="2"/>
        <w:ind w:left="1060" w:hanging="640"/>
        <w:rPr>
          <w:rFonts w:eastAsia="仿宋"/>
          <w:color w:val="000000" w:themeColor="text1"/>
          <w:sz w:val="32"/>
          <w:szCs w:val="32"/>
        </w:rPr>
      </w:pPr>
      <w:r>
        <w:rPr>
          <w:rFonts w:eastAsia="仿宋_GB2312"/>
          <w:color w:val="000000"/>
          <w:sz w:val="32"/>
          <w:szCs w:val="32"/>
        </w:rPr>
        <w:pict>
          <v:shape id="_x0000_s1036" o:spid="_x0000_s1036" o:spt="75" type="#_x0000_t75" style="position:absolute;left:0pt;margin-left:17.25pt;margin-top:29.9pt;height:250.5pt;width:386.65pt;mso-wrap-distance-left:9pt;mso-wrap-distance-right:9pt;z-index:-251653120;mso-width-relative:page;mso-height-relative:page;" o:ole="t" filled="f" o:preferrelative="t" stroked="f" coordsize="21600,21600" wrapcoords="21592 -2 0 0 0 21600 21592 21602 8 21602 21600 21600 21600 0 8 -2 21592 -2">
            <v:path/>
            <v:fill on="f" focussize="0,0"/>
            <v:stroke on="f" joinstyle="miter"/>
            <v:imagedata r:id="rId22" o:title=""/>
            <o:lock v:ext="edit" aspectratio="t"/>
            <w10:wrap type="tight"/>
          </v:shape>
          <o:OLEObject Type="Embed" ProgID="Excel.Chart.8" ShapeID="_x0000_s1036" DrawAspect="Content" ObjectID="_1468075729" r:id="rId21">
            <o:LockedField>false</o:LockedField>
          </o:OLEObject>
        </w:pict>
      </w:r>
    </w:p>
    <w:p>
      <w:pPr>
        <w:rPr>
          <w:rFonts w:eastAsia="仿宋"/>
          <w:color w:val="000000" w:themeColor="text1"/>
          <w:sz w:val="32"/>
          <w:szCs w:val="32"/>
        </w:rPr>
      </w:pPr>
    </w:p>
    <w:p>
      <w:pPr>
        <w:pStyle w:val="2"/>
        <w:ind w:left="1060" w:hanging="640"/>
        <w:rPr>
          <w:rFonts w:eastAsia="仿宋"/>
          <w:color w:val="000000" w:themeColor="text1"/>
          <w:sz w:val="32"/>
          <w:szCs w:val="32"/>
        </w:rPr>
      </w:pPr>
    </w:p>
    <w:p>
      <w:pPr>
        <w:rPr>
          <w:rFonts w:eastAsia="仿宋"/>
          <w:color w:val="000000" w:themeColor="text1"/>
          <w:sz w:val="32"/>
          <w:szCs w:val="32"/>
        </w:rPr>
      </w:pPr>
    </w:p>
    <w:p>
      <w:pPr>
        <w:pStyle w:val="2"/>
        <w:ind w:left="1060" w:hanging="640"/>
        <w:rPr>
          <w:rFonts w:eastAsia="仿宋"/>
          <w:color w:val="000000" w:themeColor="text1"/>
          <w:sz w:val="32"/>
          <w:szCs w:val="32"/>
        </w:rPr>
      </w:pPr>
    </w:p>
    <w:p>
      <w:pPr>
        <w:rPr>
          <w:rFonts w:eastAsia="仿宋"/>
          <w:color w:val="000000" w:themeColor="text1"/>
          <w:sz w:val="32"/>
          <w:szCs w:val="32"/>
        </w:rPr>
      </w:pPr>
    </w:p>
    <w:p>
      <w:pPr>
        <w:pStyle w:val="2"/>
        <w:ind w:left="1060" w:hanging="640"/>
        <w:rPr>
          <w:rFonts w:eastAsia="仿宋"/>
          <w:color w:val="000000" w:themeColor="text1"/>
          <w:sz w:val="32"/>
          <w:szCs w:val="32"/>
        </w:rPr>
      </w:pPr>
    </w:p>
    <w:p>
      <w:pPr>
        <w:rPr>
          <w:rFonts w:eastAsia="仿宋"/>
          <w:color w:val="000000" w:themeColor="text1"/>
          <w:sz w:val="32"/>
          <w:szCs w:val="32"/>
        </w:rPr>
      </w:pPr>
    </w:p>
    <w:p>
      <w:pPr>
        <w:pStyle w:val="2"/>
        <w:ind w:left="840" w:hanging="420"/>
      </w:pPr>
    </w:p>
    <w:p>
      <w:pPr>
        <w:spacing w:line="600" w:lineRule="exact"/>
        <w:ind w:firstLine="640" w:firstLineChars="200"/>
        <w:rPr>
          <w:rFonts w:eastAsia="仿宋"/>
          <w:color w:val="000000"/>
          <w:sz w:val="32"/>
          <w:szCs w:val="32"/>
        </w:rPr>
      </w:pPr>
    </w:p>
    <w:p>
      <w:pPr>
        <w:spacing w:line="600" w:lineRule="exact"/>
        <w:ind w:firstLine="643" w:firstLineChars="200"/>
        <w:outlineLvl w:val="2"/>
        <w:rPr>
          <w:rFonts w:eastAsia="仿宋"/>
          <w:b/>
          <w:color w:val="000000"/>
          <w:sz w:val="32"/>
          <w:szCs w:val="32"/>
        </w:rPr>
      </w:pPr>
      <w:bookmarkStart w:id="34" w:name="_Toc15377212"/>
      <w:r>
        <w:rPr>
          <w:rFonts w:eastAsia="仿宋"/>
          <w:b/>
          <w:color w:val="000000"/>
          <w:sz w:val="32"/>
          <w:szCs w:val="32"/>
        </w:rPr>
        <w:t>（三）一般公共预算财政拨款支出决算具体情况</w:t>
      </w:r>
      <w:bookmarkEnd w:id="34"/>
    </w:p>
    <w:p>
      <w:pPr>
        <w:spacing w:line="600" w:lineRule="exact"/>
        <w:ind w:firstLine="643" w:firstLineChars="200"/>
        <w:outlineLvl w:val="2"/>
        <w:rPr>
          <w:rFonts w:eastAsia="仿宋"/>
          <w:color w:val="FF0000"/>
          <w:sz w:val="32"/>
          <w:szCs w:val="32"/>
        </w:rPr>
      </w:pPr>
      <w:bookmarkStart w:id="35" w:name="_Toc15377213"/>
      <w:bookmarkStart w:id="36" w:name="_Toc15377444"/>
      <w:bookmarkStart w:id="37" w:name="_Toc15378460"/>
      <w:r>
        <w:rPr>
          <w:rFonts w:eastAsia="仿宋"/>
          <w:b/>
          <w:color w:val="000000" w:themeColor="text1"/>
          <w:sz w:val="32"/>
          <w:szCs w:val="32"/>
        </w:rPr>
        <w:t>20</w:t>
      </w:r>
      <w:r>
        <w:rPr>
          <w:rFonts w:hint="eastAsia" w:eastAsia="仿宋"/>
          <w:b/>
          <w:color w:val="000000" w:themeColor="text1"/>
          <w:sz w:val="32"/>
          <w:szCs w:val="32"/>
        </w:rPr>
        <w:t>20</w:t>
      </w:r>
      <w:r>
        <w:rPr>
          <w:rFonts w:eastAsia="仿宋"/>
          <w:b/>
          <w:color w:val="000000" w:themeColor="text1"/>
          <w:sz w:val="32"/>
          <w:szCs w:val="32"/>
        </w:rPr>
        <w:t>年般公共预算支出决算数为</w:t>
      </w:r>
      <w:r>
        <w:rPr>
          <w:rFonts w:hint="eastAsia" w:eastAsia="仿宋"/>
          <w:b/>
          <w:color w:val="000000" w:themeColor="text1"/>
          <w:sz w:val="32"/>
          <w:szCs w:val="32"/>
        </w:rPr>
        <w:t>18.52</w:t>
      </w:r>
      <w:r>
        <w:rPr>
          <w:rFonts w:eastAsia="仿宋"/>
          <w:b/>
          <w:color w:val="000000" w:themeColor="text1"/>
          <w:sz w:val="32"/>
          <w:szCs w:val="32"/>
        </w:rPr>
        <w:t>万元</w:t>
      </w:r>
      <w:r>
        <w:rPr>
          <w:rFonts w:eastAsia="仿宋"/>
          <w:color w:val="000000" w:themeColor="text1"/>
          <w:sz w:val="32"/>
          <w:szCs w:val="32"/>
        </w:rPr>
        <w:t>，</w:t>
      </w:r>
      <w:r>
        <w:rPr>
          <w:rStyle w:val="16"/>
          <w:rFonts w:eastAsia="仿宋"/>
          <w:bCs/>
          <w:color w:val="000000" w:themeColor="text1"/>
          <w:sz w:val="32"/>
          <w:szCs w:val="32"/>
        </w:rPr>
        <w:t>完成</w:t>
      </w:r>
      <w:r>
        <w:rPr>
          <w:rStyle w:val="16"/>
          <w:rFonts w:eastAsia="仿宋"/>
          <w:bCs/>
          <w:color w:val="000000"/>
          <w:sz w:val="32"/>
          <w:szCs w:val="32"/>
        </w:rPr>
        <w:t>预算100%。其中：</w:t>
      </w:r>
      <w:bookmarkEnd w:id="35"/>
      <w:bookmarkEnd w:id="36"/>
      <w:bookmarkEnd w:id="37"/>
    </w:p>
    <w:p>
      <w:pPr>
        <w:spacing w:line="600" w:lineRule="exact"/>
        <w:ind w:firstLine="643" w:firstLineChars="200"/>
      </w:pPr>
      <w:r>
        <w:rPr>
          <w:rStyle w:val="16"/>
          <w:rFonts w:hint="eastAsia" w:eastAsia="仿宋_GB2312"/>
          <w:color w:val="000000"/>
          <w:sz w:val="32"/>
          <w:szCs w:val="32"/>
        </w:rPr>
        <w:t>1.</w:t>
      </w:r>
      <w:r>
        <w:rPr>
          <w:rStyle w:val="16"/>
          <w:rFonts w:eastAsia="仿宋_GB2312"/>
          <w:color w:val="000000"/>
          <w:sz w:val="32"/>
          <w:szCs w:val="32"/>
        </w:rPr>
        <w:t>一般公共服务（类）党委办公厅及相关机构事务（款）</w:t>
      </w:r>
      <w:r>
        <w:rPr>
          <w:rFonts w:eastAsia="仿宋_GB2312"/>
          <w:b/>
          <w:bCs/>
          <w:color w:val="000000"/>
          <w:sz w:val="32"/>
          <w:szCs w:val="32"/>
        </w:rPr>
        <w:t>事业运行（项）</w:t>
      </w:r>
      <w:r>
        <w:rPr>
          <w:rStyle w:val="16"/>
          <w:rFonts w:eastAsia="仿宋"/>
          <w:bCs/>
          <w:color w:val="000000"/>
          <w:sz w:val="32"/>
          <w:szCs w:val="32"/>
        </w:rPr>
        <w:t>:</w:t>
      </w:r>
      <w:r>
        <w:rPr>
          <w:rStyle w:val="16"/>
          <w:rFonts w:eastAsia="仿宋"/>
          <w:b w:val="0"/>
          <w:bCs/>
          <w:color w:val="000000"/>
          <w:sz w:val="32"/>
          <w:szCs w:val="32"/>
        </w:rPr>
        <w:t xml:space="preserve"> 支出决算为</w:t>
      </w:r>
      <w:r>
        <w:rPr>
          <w:rStyle w:val="16"/>
          <w:rFonts w:hint="eastAsia" w:eastAsia="仿宋"/>
          <w:b w:val="0"/>
          <w:bCs/>
          <w:color w:val="000000"/>
          <w:sz w:val="32"/>
          <w:szCs w:val="32"/>
        </w:rPr>
        <w:t>14.02</w:t>
      </w:r>
      <w:r>
        <w:rPr>
          <w:rStyle w:val="16"/>
          <w:rFonts w:eastAsia="仿宋"/>
          <w:b w:val="0"/>
          <w:bCs/>
          <w:color w:val="000000"/>
          <w:sz w:val="32"/>
          <w:szCs w:val="32"/>
        </w:rPr>
        <w:t>万元，完成预算</w:t>
      </w:r>
      <w:r>
        <w:rPr>
          <w:rStyle w:val="16"/>
          <w:rFonts w:hint="eastAsia" w:eastAsia="仿宋"/>
          <w:b w:val="0"/>
          <w:bCs/>
          <w:color w:val="000000"/>
          <w:sz w:val="32"/>
          <w:szCs w:val="32"/>
        </w:rPr>
        <w:t>100</w:t>
      </w:r>
      <w:r>
        <w:rPr>
          <w:rStyle w:val="16"/>
          <w:rFonts w:eastAsia="仿宋"/>
          <w:b w:val="0"/>
          <w:bCs/>
          <w:color w:val="000000"/>
          <w:sz w:val="32"/>
          <w:szCs w:val="32"/>
        </w:rPr>
        <w:t>%</w:t>
      </w:r>
      <w:r>
        <w:rPr>
          <w:rStyle w:val="16"/>
          <w:rFonts w:hint="eastAsia" w:eastAsia="仿宋"/>
          <w:b w:val="0"/>
          <w:bCs/>
          <w:color w:val="000000"/>
          <w:sz w:val="32"/>
          <w:szCs w:val="32"/>
        </w:rPr>
        <w:t>。</w:t>
      </w:r>
    </w:p>
    <w:p>
      <w:pPr>
        <w:spacing w:line="600" w:lineRule="exact"/>
        <w:ind w:firstLine="643" w:firstLineChars="200"/>
        <w:rPr>
          <w:rStyle w:val="16"/>
          <w:rFonts w:eastAsia="仿宋"/>
          <w:b w:val="0"/>
          <w:bCs/>
          <w:color w:val="000000"/>
          <w:sz w:val="32"/>
          <w:szCs w:val="32"/>
        </w:rPr>
      </w:pPr>
      <w:r>
        <w:rPr>
          <w:rStyle w:val="16"/>
          <w:rFonts w:eastAsia="仿宋"/>
          <w:bCs/>
          <w:color w:val="000000"/>
          <w:sz w:val="32"/>
          <w:szCs w:val="32"/>
        </w:rPr>
        <w:t>2.</w:t>
      </w:r>
      <w:r>
        <w:rPr>
          <w:rStyle w:val="16"/>
          <w:rFonts w:eastAsia="仿宋_GB2312"/>
          <w:color w:val="000000"/>
          <w:sz w:val="32"/>
          <w:szCs w:val="32"/>
        </w:rPr>
        <w:t>社会保障和就业（类）行政事业单位离退休（款）</w:t>
      </w:r>
      <w:r>
        <w:rPr>
          <w:rFonts w:eastAsia="仿宋_GB2312"/>
          <w:b/>
          <w:bCs/>
          <w:color w:val="000000"/>
          <w:sz w:val="32"/>
          <w:szCs w:val="32"/>
        </w:rPr>
        <w:t>机关事业单位基本养老保险缴费支出（项）</w:t>
      </w:r>
      <w:r>
        <w:rPr>
          <w:rStyle w:val="16"/>
          <w:rFonts w:eastAsia="仿宋_GB2312"/>
          <w:color w:val="000000"/>
          <w:sz w:val="32"/>
          <w:szCs w:val="32"/>
        </w:rPr>
        <w:t>:</w:t>
      </w: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年决算数为</w:t>
      </w:r>
      <w:r>
        <w:rPr>
          <w:rFonts w:hint="eastAsia" w:eastAsia="仿宋_GB2312"/>
          <w:color w:val="000000"/>
          <w:sz w:val="32"/>
          <w:szCs w:val="32"/>
        </w:rPr>
        <w:t>1.38</w:t>
      </w:r>
      <w:r>
        <w:rPr>
          <w:rFonts w:eastAsia="仿宋_GB2312"/>
          <w:color w:val="000000"/>
          <w:sz w:val="32"/>
          <w:szCs w:val="32"/>
        </w:rPr>
        <w:t>万元，完成预算100%</w:t>
      </w:r>
      <w:r>
        <w:rPr>
          <w:rStyle w:val="16"/>
          <w:rFonts w:eastAsia="仿宋"/>
          <w:b w:val="0"/>
          <w:bCs/>
          <w:color w:val="000000"/>
          <w:sz w:val="32"/>
          <w:szCs w:val="32"/>
        </w:rPr>
        <w:t>。</w:t>
      </w:r>
    </w:p>
    <w:p>
      <w:pPr>
        <w:spacing w:line="600" w:lineRule="exact"/>
        <w:ind w:firstLine="643" w:firstLineChars="200"/>
        <w:rPr>
          <w:rFonts w:eastAsia="仿宋_GB2312"/>
          <w:color w:val="000000"/>
          <w:sz w:val="32"/>
          <w:szCs w:val="32"/>
        </w:rPr>
      </w:pPr>
      <w:r>
        <w:rPr>
          <w:rStyle w:val="16"/>
          <w:rFonts w:eastAsia="仿宋_GB2312"/>
          <w:color w:val="000000"/>
          <w:sz w:val="32"/>
          <w:szCs w:val="32"/>
        </w:rPr>
        <w:t>社会保障和就业（类）行政事业单位离退休（款）</w:t>
      </w:r>
      <w:r>
        <w:rPr>
          <w:rFonts w:eastAsia="仿宋_GB2312"/>
          <w:b/>
          <w:bCs/>
          <w:color w:val="000000"/>
          <w:sz w:val="32"/>
          <w:szCs w:val="32"/>
        </w:rPr>
        <w:t>机关事业单位职业年金缴费支出（项）：</w:t>
      </w: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年决算数为</w:t>
      </w:r>
      <w:r>
        <w:rPr>
          <w:rFonts w:hint="eastAsia" w:eastAsia="仿宋_GB2312"/>
          <w:color w:val="000000"/>
          <w:sz w:val="32"/>
          <w:szCs w:val="32"/>
        </w:rPr>
        <w:t>0.69</w:t>
      </w:r>
      <w:r>
        <w:rPr>
          <w:rFonts w:eastAsia="仿宋_GB2312"/>
          <w:color w:val="000000"/>
          <w:sz w:val="32"/>
          <w:szCs w:val="32"/>
        </w:rPr>
        <w:t>万元，完成预算100%。</w:t>
      </w:r>
    </w:p>
    <w:p>
      <w:pPr>
        <w:spacing w:line="600" w:lineRule="exact"/>
        <w:ind w:firstLine="643" w:firstLineChars="200"/>
        <w:rPr>
          <w:rFonts w:eastAsia="仿宋_GB2312"/>
          <w:color w:val="000000"/>
          <w:sz w:val="32"/>
          <w:szCs w:val="32"/>
        </w:rPr>
      </w:pPr>
      <w:r>
        <w:rPr>
          <w:rStyle w:val="16"/>
          <w:rFonts w:eastAsia="仿宋_GB2312"/>
          <w:color w:val="000000"/>
          <w:sz w:val="32"/>
          <w:szCs w:val="32"/>
        </w:rPr>
        <w:t>3.医疗卫生与计划生育（类）</w:t>
      </w:r>
      <w:r>
        <w:rPr>
          <w:rFonts w:eastAsia="仿宋_GB2312"/>
          <w:b/>
          <w:bCs/>
          <w:color w:val="000000"/>
          <w:sz w:val="32"/>
          <w:szCs w:val="32"/>
        </w:rPr>
        <w:t>医疗保障（款）事业单位医疗（项）</w:t>
      </w:r>
      <w:r>
        <w:rPr>
          <w:rStyle w:val="16"/>
          <w:rFonts w:eastAsia="仿宋_GB2312"/>
          <w:color w:val="000000"/>
          <w:sz w:val="32"/>
          <w:szCs w:val="32"/>
        </w:rPr>
        <w:t>:</w:t>
      </w: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年决算数为</w:t>
      </w:r>
      <w:r>
        <w:rPr>
          <w:rFonts w:hint="eastAsia" w:eastAsia="仿宋_GB2312"/>
          <w:color w:val="000000"/>
          <w:sz w:val="32"/>
          <w:szCs w:val="32"/>
        </w:rPr>
        <w:t>0.5</w:t>
      </w:r>
      <w:r>
        <w:rPr>
          <w:rFonts w:eastAsia="仿宋_GB2312"/>
          <w:color w:val="000000"/>
          <w:sz w:val="32"/>
          <w:szCs w:val="32"/>
        </w:rPr>
        <w:t>万元，完成预算100%。</w:t>
      </w:r>
    </w:p>
    <w:p>
      <w:pPr>
        <w:spacing w:line="600" w:lineRule="exact"/>
        <w:ind w:firstLine="643" w:firstLineChars="200"/>
        <w:rPr>
          <w:rFonts w:eastAsia="仿宋_GB2312"/>
          <w:color w:val="000000"/>
          <w:sz w:val="32"/>
          <w:szCs w:val="32"/>
        </w:rPr>
      </w:pPr>
      <w:r>
        <w:rPr>
          <w:rStyle w:val="16"/>
          <w:rFonts w:eastAsia="仿宋_GB2312"/>
          <w:color w:val="000000"/>
          <w:sz w:val="32"/>
          <w:szCs w:val="32"/>
        </w:rPr>
        <w:t>医疗卫生与计划生育（类）</w:t>
      </w:r>
      <w:r>
        <w:rPr>
          <w:rFonts w:eastAsia="仿宋_GB2312"/>
          <w:b/>
          <w:bCs/>
          <w:color w:val="000000"/>
          <w:sz w:val="32"/>
          <w:szCs w:val="32"/>
        </w:rPr>
        <w:t>医疗保障（款）其他行政事业单位医疗支出（项）</w:t>
      </w:r>
      <w:r>
        <w:rPr>
          <w:rStyle w:val="16"/>
          <w:rFonts w:eastAsia="仿宋_GB2312"/>
          <w:color w:val="000000"/>
          <w:sz w:val="32"/>
          <w:szCs w:val="32"/>
        </w:rPr>
        <w:t>:</w:t>
      </w: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年决算数为0.</w:t>
      </w:r>
      <w:r>
        <w:rPr>
          <w:rFonts w:hint="eastAsia" w:eastAsia="仿宋_GB2312"/>
          <w:color w:val="000000"/>
          <w:sz w:val="32"/>
          <w:szCs w:val="32"/>
        </w:rPr>
        <w:t>18</w:t>
      </w:r>
      <w:r>
        <w:rPr>
          <w:rFonts w:eastAsia="仿宋_GB2312"/>
          <w:color w:val="000000"/>
          <w:sz w:val="32"/>
          <w:szCs w:val="32"/>
        </w:rPr>
        <w:t>万元，完成预算100%。</w:t>
      </w:r>
    </w:p>
    <w:p>
      <w:pPr>
        <w:spacing w:line="600" w:lineRule="exact"/>
        <w:ind w:firstLine="643" w:firstLineChars="200"/>
        <w:rPr>
          <w:rFonts w:eastAsia="仿宋"/>
          <w:color w:val="000000"/>
          <w:sz w:val="32"/>
          <w:szCs w:val="32"/>
        </w:rPr>
      </w:pPr>
      <w:r>
        <w:rPr>
          <w:rFonts w:eastAsia="仿宋_GB2312"/>
          <w:b/>
          <w:bCs/>
          <w:color w:val="000000"/>
          <w:sz w:val="32"/>
          <w:szCs w:val="32"/>
        </w:rPr>
        <w:t>4.住房保障支出（类）住房改革支出（款）住房公积金（项）</w:t>
      </w: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年决算数为:</w:t>
      </w:r>
      <w:r>
        <w:rPr>
          <w:rFonts w:hint="eastAsia" w:eastAsia="仿宋_GB2312"/>
          <w:color w:val="000000"/>
          <w:sz w:val="32"/>
          <w:szCs w:val="32"/>
        </w:rPr>
        <w:t>1.37</w:t>
      </w:r>
      <w:r>
        <w:rPr>
          <w:rFonts w:eastAsia="仿宋_GB2312"/>
          <w:color w:val="000000"/>
          <w:sz w:val="32"/>
          <w:szCs w:val="32"/>
        </w:rPr>
        <w:t>万元，完成预算100%。</w:t>
      </w:r>
    </w:p>
    <w:p>
      <w:pPr>
        <w:tabs>
          <w:tab w:val="right" w:pos="8306"/>
        </w:tabs>
        <w:spacing w:line="600" w:lineRule="exact"/>
        <w:ind w:firstLine="640"/>
        <w:outlineLvl w:val="1"/>
        <w:rPr>
          <w:rStyle w:val="27"/>
          <w:rFonts w:ascii="Times New Roman" w:hAnsi="Times New Roman" w:cs="Times New Roman"/>
        </w:rPr>
      </w:pPr>
      <w:bookmarkStart w:id="38" w:name="_Toc15377214"/>
      <w:bookmarkStart w:id="39" w:name="_Toc15396608"/>
      <w:r>
        <w:rPr>
          <w:rFonts w:eastAsia="黑体"/>
          <w:color w:val="000000"/>
          <w:sz w:val="32"/>
          <w:szCs w:val="32"/>
        </w:rPr>
        <w:t>六</w:t>
      </w:r>
      <w:r>
        <w:rPr>
          <w:rFonts w:eastAsia="黑体"/>
          <w:b/>
          <w:color w:val="000000"/>
          <w:sz w:val="32"/>
          <w:szCs w:val="32"/>
        </w:rPr>
        <w:t>、一</w:t>
      </w:r>
      <w:r>
        <w:rPr>
          <w:rStyle w:val="27"/>
          <w:rFonts w:ascii="Times New Roman" w:hAnsi="Times New Roman" w:eastAsia="黑体" w:cs="Times New Roman"/>
          <w:b w:val="0"/>
        </w:rPr>
        <w:t>般公共预算财政拨款基本支出决算情况说明</w:t>
      </w:r>
      <w:bookmarkEnd w:id="38"/>
      <w:bookmarkEnd w:id="39"/>
      <w:r>
        <w:rPr>
          <w:rStyle w:val="27"/>
          <w:rFonts w:ascii="Times New Roman" w:hAnsi="Times New Roman" w:eastAsia="黑体" w:cs="Times New Roman"/>
          <w:b w:val="0"/>
        </w:rPr>
        <w:tab/>
      </w:r>
    </w:p>
    <w:p>
      <w:pPr>
        <w:spacing w:line="600" w:lineRule="exact"/>
        <w:ind w:firstLine="640"/>
        <w:rPr>
          <w:rFonts w:eastAsia="仿宋"/>
          <w:color w:val="000000" w:themeColor="text1"/>
          <w:sz w:val="32"/>
          <w:szCs w:val="32"/>
        </w:rPr>
      </w:pPr>
      <w:bookmarkStart w:id="40" w:name="_Toc15396609"/>
      <w:bookmarkStart w:id="41" w:name="_Toc15377215"/>
      <w:r>
        <w:rPr>
          <w:rFonts w:eastAsia="仿宋"/>
          <w:color w:val="000000" w:themeColor="text1"/>
          <w:sz w:val="32"/>
          <w:szCs w:val="32"/>
        </w:rPr>
        <w:t>20</w:t>
      </w:r>
      <w:r>
        <w:rPr>
          <w:rFonts w:hint="eastAsia" w:eastAsia="仿宋"/>
          <w:color w:val="000000" w:themeColor="text1"/>
          <w:sz w:val="32"/>
          <w:szCs w:val="32"/>
        </w:rPr>
        <w:t>20</w:t>
      </w:r>
      <w:r>
        <w:rPr>
          <w:rFonts w:eastAsia="仿宋"/>
          <w:color w:val="000000" w:themeColor="text1"/>
          <w:sz w:val="32"/>
          <w:szCs w:val="32"/>
        </w:rPr>
        <w:t>年一般公共预算财政拨款基本支出</w:t>
      </w:r>
      <w:r>
        <w:rPr>
          <w:rFonts w:hint="eastAsia" w:eastAsia="仿宋"/>
          <w:color w:val="000000" w:themeColor="text1"/>
          <w:sz w:val="32"/>
          <w:szCs w:val="32"/>
        </w:rPr>
        <w:t>18.16</w:t>
      </w:r>
      <w:r>
        <w:rPr>
          <w:rFonts w:eastAsia="仿宋"/>
          <w:color w:val="000000" w:themeColor="text1"/>
          <w:sz w:val="32"/>
          <w:szCs w:val="32"/>
        </w:rPr>
        <w:t>万元，其中：</w:t>
      </w:r>
    </w:p>
    <w:p>
      <w:pPr>
        <w:spacing w:line="600" w:lineRule="exact"/>
        <w:ind w:firstLine="640"/>
        <w:rPr>
          <w:rFonts w:eastAsia="仿宋"/>
          <w:color w:val="000000" w:themeColor="text1"/>
          <w:sz w:val="32"/>
          <w:szCs w:val="32"/>
        </w:rPr>
      </w:pPr>
      <w:r>
        <w:rPr>
          <w:rFonts w:eastAsia="仿宋"/>
          <w:color w:val="000000" w:themeColor="text1"/>
          <w:sz w:val="32"/>
          <w:szCs w:val="32"/>
        </w:rPr>
        <w:t> 人员经费</w:t>
      </w:r>
      <w:r>
        <w:rPr>
          <w:rFonts w:hint="eastAsia" w:eastAsia="仿宋"/>
          <w:color w:val="000000" w:themeColor="text1"/>
          <w:sz w:val="32"/>
          <w:szCs w:val="32"/>
        </w:rPr>
        <w:t>18.16</w:t>
      </w:r>
      <w:r>
        <w:rPr>
          <w:rFonts w:eastAsia="仿宋"/>
          <w:color w:val="000000" w:themeColor="text1"/>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rPr>
          <w:rFonts w:eastAsia="仿宋"/>
          <w:color w:val="000000" w:themeColor="text1"/>
          <w:sz w:val="32"/>
          <w:szCs w:val="32"/>
        </w:rPr>
      </w:pPr>
      <w:r>
        <w:rPr>
          <w:rFonts w:eastAsia="仿宋"/>
          <w:color w:val="000000" w:themeColor="text1"/>
          <w:sz w:val="32"/>
          <w:szCs w:val="32"/>
        </w:rPr>
        <w:t>日常公用经费0.36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 用、其他商品和服务支出、办公设备购置、专用设备购置、信息网络及软件购置更新、其他资本性支出等。</w:t>
      </w:r>
    </w:p>
    <w:p>
      <w:pPr>
        <w:spacing w:line="600" w:lineRule="exact"/>
        <w:ind w:firstLine="640"/>
        <w:outlineLvl w:val="1"/>
        <w:rPr>
          <w:rStyle w:val="27"/>
          <w:rFonts w:ascii="Times New Roman" w:hAnsi="Times New Roman" w:eastAsia="黑体" w:cs="Times New Roman"/>
          <w:b w:val="0"/>
        </w:rPr>
      </w:pPr>
      <w:r>
        <w:rPr>
          <w:rFonts w:eastAsia="黑体"/>
          <w:color w:val="000000"/>
          <w:sz w:val="32"/>
          <w:szCs w:val="32"/>
        </w:rPr>
        <w:t>七、</w:t>
      </w:r>
      <w:r>
        <w:rPr>
          <w:rStyle w:val="27"/>
          <w:rFonts w:ascii="Times New Roman" w:hAnsi="Times New Roman" w:eastAsia="黑体" w:cs="Times New Roman"/>
        </w:rPr>
        <w:t>“</w:t>
      </w:r>
      <w:r>
        <w:rPr>
          <w:rStyle w:val="27"/>
          <w:rFonts w:ascii="Times New Roman" w:hAnsi="Times New Roman" w:eastAsia="黑体" w:cs="Times New Roman"/>
          <w:b w:val="0"/>
        </w:rPr>
        <w:t>三公”经费财政拨款支出决算情况说明</w:t>
      </w:r>
      <w:bookmarkEnd w:id="40"/>
      <w:bookmarkEnd w:id="41"/>
    </w:p>
    <w:p>
      <w:pPr>
        <w:spacing w:line="600" w:lineRule="exact"/>
        <w:ind w:firstLine="640"/>
        <w:outlineLvl w:val="1"/>
        <w:rPr>
          <w:rFonts w:eastAsia="黑体"/>
          <w:color w:val="000000"/>
          <w:sz w:val="32"/>
          <w:szCs w:val="32"/>
        </w:rPr>
      </w:pPr>
      <w:bookmarkStart w:id="42" w:name="_Toc15396610"/>
      <w:bookmarkStart w:id="43" w:name="_Toc15377218"/>
      <w:r>
        <w:rPr>
          <w:rFonts w:eastAsia="仿宋_GB2312"/>
          <w:color w:val="000000"/>
          <w:sz w:val="32"/>
          <w:szCs w:val="32"/>
        </w:rPr>
        <w:t>我中心20</w:t>
      </w:r>
      <w:r>
        <w:rPr>
          <w:rFonts w:hint="eastAsia" w:eastAsia="仿宋_GB2312"/>
          <w:color w:val="000000"/>
          <w:sz w:val="32"/>
          <w:szCs w:val="32"/>
        </w:rPr>
        <w:t>20</w:t>
      </w:r>
      <w:r>
        <w:rPr>
          <w:rFonts w:eastAsia="仿宋_GB2312"/>
          <w:color w:val="000000"/>
          <w:sz w:val="32"/>
          <w:szCs w:val="32"/>
        </w:rPr>
        <w:t>年无“三公”经费预算支出。</w:t>
      </w:r>
    </w:p>
    <w:p>
      <w:pPr>
        <w:spacing w:line="600" w:lineRule="exact"/>
        <w:ind w:firstLine="640"/>
        <w:outlineLvl w:val="1"/>
        <w:rPr>
          <w:rStyle w:val="27"/>
          <w:rFonts w:ascii="Times New Roman" w:hAnsi="Times New Roman" w:eastAsia="黑体" w:cs="Times New Roman"/>
        </w:rPr>
      </w:pPr>
      <w:r>
        <w:rPr>
          <w:rFonts w:eastAsia="黑体"/>
          <w:color w:val="000000"/>
          <w:sz w:val="32"/>
          <w:szCs w:val="32"/>
        </w:rPr>
        <w:t>八、</w:t>
      </w:r>
      <w:r>
        <w:rPr>
          <w:rStyle w:val="27"/>
          <w:rFonts w:ascii="Times New Roman" w:hAnsi="Times New Roman" w:eastAsia="黑体" w:cs="Times New Roman"/>
          <w:b w:val="0"/>
        </w:rPr>
        <w:t>政府性基金预算支出决算情况说明</w:t>
      </w:r>
      <w:bookmarkEnd w:id="42"/>
      <w:bookmarkEnd w:id="43"/>
    </w:p>
    <w:p>
      <w:pPr>
        <w:spacing w:line="600" w:lineRule="exact"/>
        <w:ind w:firstLine="640"/>
        <w:rPr>
          <w:rFonts w:eastAsia="仿宋_GB2312"/>
          <w:color w:val="000000"/>
          <w:sz w:val="32"/>
          <w:szCs w:val="32"/>
        </w:rPr>
      </w:pPr>
      <w:r>
        <w:rPr>
          <w:rFonts w:eastAsia="仿宋_GB2312"/>
          <w:color w:val="000000"/>
          <w:sz w:val="32"/>
          <w:szCs w:val="32"/>
        </w:rPr>
        <w:t>我中心20</w:t>
      </w:r>
      <w:r>
        <w:rPr>
          <w:rFonts w:hint="eastAsia" w:eastAsia="仿宋_GB2312"/>
          <w:color w:val="000000"/>
          <w:sz w:val="32"/>
          <w:szCs w:val="32"/>
        </w:rPr>
        <w:t>20</w:t>
      </w:r>
      <w:r>
        <w:rPr>
          <w:rFonts w:eastAsia="仿宋_GB2312"/>
          <w:color w:val="000000"/>
          <w:sz w:val="32"/>
          <w:szCs w:val="32"/>
        </w:rPr>
        <w:t>年无政府性基金预算财政拨款支出。</w:t>
      </w:r>
    </w:p>
    <w:p>
      <w:pPr>
        <w:numPr>
          <w:ilvl w:val="0"/>
          <w:numId w:val="2"/>
        </w:numPr>
        <w:spacing w:line="600" w:lineRule="exact"/>
        <w:ind w:firstLine="640"/>
        <w:outlineLvl w:val="1"/>
        <w:rPr>
          <w:rStyle w:val="27"/>
          <w:rFonts w:ascii="Times New Roman" w:hAnsi="Times New Roman" w:eastAsia="黑体" w:cs="Times New Roman"/>
          <w:b w:val="0"/>
        </w:rPr>
      </w:pPr>
      <w:bookmarkStart w:id="44" w:name="_Toc15377219"/>
      <w:bookmarkStart w:id="45" w:name="_Toc15396611"/>
      <w:r>
        <w:rPr>
          <w:rStyle w:val="27"/>
          <w:rFonts w:ascii="Times New Roman" w:hAnsi="Times New Roman" w:eastAsia="黑体" w:cs="Times New Roman"/>
          <w:b w:val="0"/>
        </w:rPr>
        <w:t>国有资本经营预算支出决算情况说明</w:t>
      </w:r>
      <w:bookmarkEnd w:id="44"/>
      <w:bookmarkEnd w:id="45"/>
    </w:p>
    <w:p>
      <w:pPr>
        <w:spacing w:line="600" w:lineRule="exact"/>
        <w:rPr>
          <w:rFonts w:eastAsia="仿宋_GB2312"/>
          <w:color w:val="000000"/>
          <w:sz w:val="32"/>
          <w:szCs w:val="32"/>
        </w:rPr>
      </w:pPr>
      <w:r>
        <w:rPr>
          <w:rFonts w:eastAsia="黑体"/>
          <w:color w:val="000000"/>
          <w:sz w:val="32"/>
          <w:szCs w:val="32"/>
        </w:rPr>
        <w:t xml:space="preserve">   </w:t>
      </w:r>
      <w:r>
        <w:rPr>
          <w:rFonts w:eastAsia="仿宋_GB2312"/>
          <w:color w:val="000000"/>
          <w:sz w:val="32"/>
          <w:szCs w:val="32"/>
        </w:rPr>
        <w:t xml:space="preserve"> 我中心20</w:t>
      </w:r>
      <w:r>
        <w:rPr>
          <w:rFonts w:hint="eastAsia" w:eastAsia="仿宋_GB2312"/>
          <w:color w:val="000000"/>
          <w:sz w:val="32"/>
          <w:szCs w:val="32"/>
        </w:rPr>
        <w:t>20</w:t>
      </w:r>
      <w:r>
        <w:rPr>
          <w:rFonts w:eastAsia="仿宋_GB2312"/>
          <w:color w:val="000000"/>
          <w:sz w:val="32"/>
          <w:szCs w:val="32"/>
        </w:rPr>
        <w:t>年无国有资本经营预算支出。</w:t>
      </w:r>
    </w:p>
    <w:p>
      <w:pPr>
        <w:pStyle w:val="25"/>
        <w:numPr>
          <w:ilvl w:val="0"/>
          <w:numId w:val="3"/>
        </w:numPr>
        <w:spacing w:line="580" w:lineRule="exact"/>
        <w:ind w:firstLineChars="0"/>
        <w:rPr>
          <w:rStyle w:val="27"/>
          <w:rFonts w:ascii="Times New Roman" w:hAnsi="Times New Roman" w:eastAsia="黑体" w:cs="Times New Roman"/>
          <w:b w:val="0"/>
        </w:rPr>
      </w:pPr>
      <w:r>
        <w:rPr>
          <w:rStyle w:val="27"/>
          <w:rFonts w:ascii="Times New Roman" w:hAnsi="Times New Roman" w:eastAsia="黑体" w:cs="Times New Roman"/>
          <w:b w:val="0"/>
        </w:rPr>
        <w:t>预算绩效情况说明</w:t>
      </w:r>
    </w:p>
    <w:p>
      <w:pPr>
        <w:pStyle w:val="25"/>
        <w:spacing w:line="580" w:lineRule="exact"/>
        <w:ind w:left="709" w:firstLine="0" w:firstLineChars="0"/>
        <w:rPr>
          <w:rStyle w:val="27"/>
          <w:rFonts w:ascii="Times New Roman" w:hAnsi="Times New Roman" w:eastAsia="仿宋_GB2312" w:cs="Times New Roman"/>
          <w:b w:val="0"/>
        </w:rPr>
      </w:pPr>
      <w:r>
        <w:rPr>
          <w:rStyle w:val="27"/>
          <w:rFonts w:ascii="Times New Roman" w:hAnsi="Times New Roman" w:eastAsia="仿宋_GB2312" w:cs="Times New Roman"/>
          <w:b w:val="0"/>
        </w:rPr>
        <w:t>我中心</w:t>
      </w:r>
      <w:r>
        <w:rPr>
          <w:rFonts w:eastAsia="仿宋_GB2312"/>
          <w:color w:val="000000"/>
          <w:sz w:val="32"/>
          <w:szCs w:val="32"/>
        </w:rPr>
        <w:t>20</w:t>
      </w:r>
      <w:r>
        <w:rPr>
          <w:rFonts w:hint="eastAsia" w:eastAsia="仿宋_GB2312"/>
          <w:color w:val="000000"/>
          <w:sz w:val="32"/>
          <w:szCs w:val="32"/>
        </w:rPr>
        <w:t>20</w:t>
      </w:r>
      <w:r>
        <w:rPr>
          <w:rStyle w:val="27"/>
          <w:rFonts w:ascii="Times New Roman" w:hAnsi="Times New Roman" w:eastAsia="仿宋_GB2312" w:cs="Times New Roman"/>
          <w:b w:val="0"/>
        </w:rPr>
        <w:t>年无绩效项目</w:t>
      </w:r>
    </w:p>
    <w:p>
      <w:pPr>
        <w:spacing w:line="600" w:lineRule="exact"/>
        <w:ind w:firstLine="800" w:firstLineChars="250"/>
        <w:outlineLvl w:val="1"/>
        <w:rPr>
          <w:rStyle w:val="27"/>
          <w:rFonts w:ascii="Times New Roman" w:hAnsi="Times New Roman" w:eastAsia="黑体" w:cs="Times New Roman"/>
        </w:rPr>
      </w:pPr>
      <w:bookmarkStart w:id="46" w:name="_Toc15377221"/>
      <w:bookmarkStart w:id="47" w:name="_Toc15396612"/>
      <w:r>
        <w:rPr>
          <w:rFonts w:eastAsia="黑体"/>
          <w:color w:val="000000"/>
          <w:sz w:val="32"/>
          <w:szCs w:val="32"/>
        </w:rPr>
        <w:t>十</w:t>
      </w:r>
      <w:r>
        <w:rPr>
          <w:rStyle w:val="27"/>
          <w:rFonts w:ascii="Times New Roman" w:hAnsi="Times New Roman" w:eastAsia="黑体" w:cs="Times New Roman"/>
        </w:rPr>
        <w:t>一、</w:t>
      </w:r>
      <w:r>
        <w:rPr>
          <w:rStyle w:val="27"/>
          <w:rFonts w:ascii="Times New Roman" w:hAnsi="Times New Roman" w:eastAsia="黑体" w:cs="Times New Roman"/>
          <w:b w:val="0"/>
        </w:rPr>
        <w:t>其他重要事项的情况说明</w:t>
      </w:r>
      <w:bookmarkEnd w:id="46"/>
      <w:bookmarkEnd w:id="47"/>
    </w:p>
    <w:p>
      <w:pPr>
        <w:spacing w:line="600" w:lineRule="exact"/>
        <w:ind w:firstLine="643" w:firstLineChars="200"/>
        <w:outlineLvl w:val="2"/>
        <w:rPr>
          <w:rFonts w:eastAsia="仿宋"/>
          <w:color w:val="000000"/>
          <w:sz w:val="32"/>
          <w:szCs w:val="32"/>
        </w:rPr>
      </w:pPr>
      <w:bookmarkStart w:id="48" w:name="_Toc15377222"/>
      <w:r>
        <w:rPr>
          <w:rFonts w:eastAsia="仿宋"/>
          <w:b/>
          <w:color w:val="000000"/>
          <w:sz w:val="32"/>
          <w:szCs w:val="32"/>
        </w:rPr>
        <w:t>（一）机关运行经费支出情况</w:t>
      </w:r>
      <w:bookmarkEnd w:id="48"/>
    </w:p>
    <w:p>
      <w:pPr>
        <w:spacing w:line="600" w:lineRule="exact"/>
        <w:ind w:firstLine="640" w:firstLineChars="200"/>
        <w:rPr>
          <w:rFonts w:eastAsia="仿宋_GB2312"/>
          <w:color w:val="000000" w:themeColor="text1"/>
          <w:sz w:val="32"/>
          <w:szCs w:val="32"/>
        </w:rPr>
      </w:pP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年，机关运行经费支出0万元</w:t>
      </w:r>
      <w:r>
        <w:rPr>
          <w:rFonts w:eastAsia="仿宋"/>
          <w:color w:val="000000"/>
          <w:sz w:val="32"/>
          <w:szCs w:val="32"/>
        </w:rPr>
        <w:t>。</w:t>
      </w:r>
    </w:p>
    <w:p>
      <w:pPr>
        <w:autoSpaceDE w:val="0"/>
        <w:autoSpaceDN w:val="0"/>
        <w:adjustRightInd w:val="0"/>
        <w:spacing w:line="600" w:lineRule="exact"/>
        <w:ind w:firstLine="643" w:firstLineChars="200"/>
        <w:jc w:val="left"/>
        <w:outlineLvl w:val="2"/>
        <w:rPr>
          <w:rFonts w:eastAsia="仿宋"/>
          <w:b/>
          <w:color w:val="000000"/>
          <w:sz w:val="32"/>
          <w:szCs w:val="32"/>
        </w:rPr>
      </w:pPr>
      <w:bookmarkStart w:id="49" w:name="_Toc15377223"/>
      <w:r>
        <w:rPr>
          <w:rFonts w:eastAsia="仿宋"/>
          <w:b/>
          <w:color w:val="000000"/>
          <w:sz w:val="32"/>
          <w:szCs w:val="32"/>
        </w:rPr>
        <w:t>（二）政府采购支出情况</w:t>
      </w:r>
      <w:bookmarkEnd w:id="49"/>
    </w:p>
    <w:p>
      <w:pPr>
        <w:spacing w:line="600" w:lineRule="exact"/>
        <w:ind w:firstLine="640" w:firstLineChars="200"/>
        <w:rPr>
          <w:rFonts w:eastAsia="仿宋"/>
          <w:b/>
          <w:color w:val="000000"/>
          <w:sz w:val="32"/>
          <w:szCs w:val="32"/>
        </w:rPr>
      </w:pPr>
      <w:r>
        <w:rPr>
          <w:rFonts w:eastAsia="仿宋_GB2312"/>
          <w:color w:val="000000"/>
          <w:sz w:val="32"/>
          <w:szCs w:val="32"/>
        </w:rPr>
        <w:t>20</w:t>
      </w:r>
      <w:r>
        <w:rPr>
          <w:rFonts w:hint="eastAsia" w:eastAsia="仿宋_GB2312"/>
          <w:color w:val="000000"/>
          <w:sz w:val="32"/>
          <w:szCs w:val="32"/>
        </w:rPr>
        <w:t>20</w:t>
      </w:r>
      <w:r>
        <w:rPr>
          <w:rFonts w:eastAsia="仿宋_GB2312"/>
          <w:color w:val="000000"/>
          <w:sz w:val="32"/>
          <w:szCs w:val="32"/>
        </w:rPr>
        <w:t>年，政府采购支出总额0万元。</w:t>
      </w:r>
    </w:p>
    <w:p>
      <w:pPr>
        <w:autoSpaceDE w:val="0"/>
        <w:autoSpaceDN w:val="0"/>
        <w:adjustRightInd w:val="0"/>
        <w:spacing w:line="600" w:lineRule="exact"/>
        <w:ind w:firstLine="643" w:firstLineChars="200"/>
        <w:jc w:val="left"/>
        <w:outlineLvl w:val="2"/>
        <w:rPr>
          <w:rFonts w:eastAsia="仿宋"/>
          <w:b/>
          <w:color w:val="000000"/>
          <w:sz w:val="32"/>
          <w:szCs w:val="32"/>
        </w:rPr>
      </w:pPr>
      <w:bookmarkStart w:id="50" w:name="_Toc15377224"/>
      <w:r>
        <w:rPr>
          <w:rFonts w:eastAsia="仿宋"/>
          <w:b/>
          <w:color w:val="000000"/>
          <w:sz w:val="32"/>
          <w:szCs w:val="32"/>
        </w:rPr>
        <w:t>（三）国有资产占有使用情况</w:t>
      </w:r>
      <w:bookmarkEnd w:id="50"/>
    </w:p>
    <w:p>
      <w:pPr>
        <w:autoSpaceDE w:val="0"/>
        <w:autoSpaceDN w:val="0"/>
        <w:adjustRightInd w:val="0"/>
        <w:spacing w:line="600" w:lineRule="exact"/>
        <w:ind w:firstLine="640" w:firstLineChars="200"/>
        <w:jc w:val="left"/>
        <w:rPr>
          <w:rFonts w:eastAsia="仿宋_GB2312"/>
          <w:color w:val="000000"/>
          <w:sz w:val="32"/>
          <w:szCs w:val="32"/>
        </w:rPr>
      </w:pPr>
      <w:r>
        <w:rPr>
          <w:rFonts w:eastAsia="仿宋_GB2312"/>
          <w:color w:val="000000"/>
          <w:sz w:val="32"/>
          <w:szCs w:val="32"/>
        </w:rPr>
        <w:t>无。</w:t>
      </w:r>
    </w:p>
    <w:p>
      <w:pPr>
        <w:widowControl/>
        <w:jc w:val="left"/>
        <w:rPr>
          <w:rFonts w:eastAsia="仿宋_GB2312"/>
          <w:b/>
          <w:color w:val="000000"/>
          <w:sz w:val="32"/>
          <w:szCs w:val="32"/>
        </w:rPr>
      </w:pPr>
    </w:p>
    <w:p>
      <w:pPr>
        <w:pStyle w:val="2"/>
        <w:ind w:left="840" w:hanging="420"/>
      </w:pPr>
    </w:p>
    <w:p>
      <w:pPr>
        <w:numPr>
          <w:ilvl w:val="0"/>
          <w:numId w:val="4"/>
        </w:numPr>
        <w:spacing w:line="576" w:lineRule="exact"/>
        <w:ind w:firstLine="660" w:firstLineChars="150"/>
        <w:jc w:val="center"/>
        <w:outlineLvl w:val="0"/>
        <w:rPr>
          <w:rStyle w:val="26"/>
          <w:rFonts w:eastAsia="黑体"/>
          <w:b w:val="0"/>
        </w:rPr>
      </w:pPr>
      <w:bookmarkStart w:id="51" w:name="_Toc15396613"/>
      <w:bookmarkStart w:id="52" w:name="_Toc15377225"/>
      <w:r>
        <w:rPr>
          <w:rFonts w:eastAsia="黑体"/>
          <w:bCs/>
          <w:color w:val="000000"/>
          <w:sz w:val="44"/>
          <w:szCs w:val="44"/>
        </w:rPr>
        <w:t>名</w:t>
      </w:r>
      <w:r>
        <w:rPr>
          <w:rStyle w:val="26"/>
          <w:rFonts w:eastAsia="黑体"/>
          <w:b w:val="0"/>
        </w:rPr>
        <w:t>词解释</w:t>
      </w:r>
      <w:bookmarkEnd w:id="51"/>
      <w:bookmarkEnd w:id="52"/>
    </w:p>
    <w:p>
      <w:pPr>
        <w:spacing w:line="576" w:lineRule="exact"/>
        <w:jc w:val="left"/>
        <w:rPr>
          <w:b/>
          <w:color w:val="000000"/>
          <w:sz w:val="44"/>
          <w:szCs w:val="44"/>
        </w:rPr>
      </w:pPr>
    </w:p>
    <w:p>
      <w:pPr>
        <w:pStyle w:val="24"/>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1.财政拨款收入：指州级财政当年拨付的资金。 </w:t>
      </w:r>
    </w:p>
    <w:p>
      <w:pPr>
        <w:pStyle w:val="24"/>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2.事业收入：指事业单位开展专业业务活动及辅助活动所取得的收入。</w:t>
      </w:r>
    </w:p>
    <w:p>
      <w:pPr>
        <w:pStyle w:val="24"/>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3.经营收入：指事业单位在专业业务活动及其辅助活动之外开展非独立核算经营活动取得的收入。</w:t>
      </w:r>
    </w:p>
    <w:p>
      <w:pPr>
        <w:pStyle w:val="24"/>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4.其他收入：指除上述“财政拨款收入”、“事业收入”、“经营收入”等以外的收入。</w:t>
      </w:r>
    </w:p>
    <w:p>
      <w:pPr>
        <w:pStyle w:val="24"/>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5.年初结转和结余：指以前年度尚未完成、结转到本年按有关规定继续使用的资金。 </w:t>
      </w:r>
    </w:p>
    <w:p>
      <w:pPr>
        <w:spacing w:line="576" w:lineRule="exact"/>
        <w:ind w:firstLine="640" w:firstLineChars="200"/>
        <w:rPr>
          <w:rFonts w:eastAsia="仿宋_GB2312"/>
          <w:color w:val="000000"/>
          <w:sz w:val="32"/>
          <w:szCs w:val="32"/>
        </w:rPr>
      </w:pPr>
      <w:r>
        <w:rPr>
          <w:rFonts w:eastAsia="仿宋_GB2312"/>
          <w:color w:val="000000"/>
          <w:sz w:val="32"/>
          <w:szCs w:val="32"/>
        </w:rPr>
        <w:t>6.结余分配：指事业单位按规定提取的职工福利基金、事业基金和缴纳的所得税，以及建设单位按规定应交回的基本建设竣工项目结余资金。</w:t>
      </w:r>
    </w:p>
    <w:p>
      <w:pPr>
        <w:spacing w:line="576" w:lineRule="exact"/>
        <w:ind w:firstLine="640" w:firstLineChars="200"/>
        <w:rPr>
          <w:rFonts w:eastAsia="仿宋_GB2312"/>
          <w:color w:val="000000"/>
          <w:sz w:val="32"/>
          <w:szCs w:val="32"/>
        </w:rPr>
      </w:pPr>
      <w:r>
        <w:rPr>
          <w:rFonts w:eastAsia="仿宋_GB2312"/>
          <w:color w:val="000000"/>
          <w:sz w:val="32"/>
          <w:szCs w:val="32"/>
        </w:rPr>
        <w:t>7.年末结转和结余：指本年度或以前年度预算安排、因客观条件发生变化无法按原计划实施，需延迟到以后年度按有关规定继续使用的资金。</w:t>
      </w:r>
    </w:p>
    <w:p>
      <w:pPr>
        <w:spacing w:line="576" w:lineRule="exact"/>
        <w:ind w:firstLine="640" w:firstLineChars="200"/>
        <w:rPr>
          <w:rFonts w:eastAsia="仿宋_GB2312"/>
          <w:color w:val="000000"/>
          <w:sz w:val="32"/>
          <w:szCs w:val="32"/>
        </w:rPr>
      </w:pPr>
      <w:r>
        <w:rPr>
          <w:rFonts w:eastAsia="仿宋_GB2312"/>
          <w:color w:val="000000"/>
          <w:sz w:val="32"/>
          <w:szCs w:val="32"/>
        </w:rPr>
        <w:t>8.一般公共服务（类）党委办公厅（室）及相关机构事务（款）行政运行（项）：反映行政单位（包括实行公务员管理的事业单位）的基本支出。</w:t>
      </w:r>
    </w:p>
    <w:p>
      <w:pPr>
        <w:spacing w:line="576" w:lineRule="exact"/>
        <w:ind w:firstLine="640" w:firstLineChars="200"/>
        <w:rPr>
          <w:rFonts w:eastAsia="仿宋_GB2312"/>
          <w:color w:val="000000"/>
          <w:sz w:val="32"/>
          <w:szCs w:val="32"/>
        </w:rPr>
      </w:pPr>
      <w:r>
        <w:rPr>
          <w:rFonts w:eastAsia="仿宋_GB2312"/>
          <w:color w:val="000000"/>
          <w:sz w:val="32"/>
          <w:szCs w:val="32"/>
        </w:rPr>
        <w:t>9.一般公共服务（类）党委办公厅（室）及相关机构事务（款）一般行政管理事务（项）：反映行政单位（包括实行公务员管理的事业单位）未单独设置项级科目的其他项目支出。</w:t>
      </w:r>
    </w:p>
    <w:p>
      <w:pPr>
        <w:spacing w:line="576" w:lineRule="exact"/>
        <w:ind w:firstLine="640" w:firstLineChars="200"/>
        <w:rPr>
          <w:rFonts w:eastAsia="仿宋_GB2312"/>
          <w:color w:val="000000"/>
          <w:sz w:val="32"/>
          <w:szCs w:val="32"/>
        </w:rPr>
      </w:pPr>
      <w:r>
        <w:rPr>
          <w:rFonts w:eastAsia="仿宋_GB2312"/>
          <w:color w:val="000000"/>
          <w:sz w:val="32"/>
          <w:szCs w:val="32"/>
        </w:rPr>
        <w:t>10.社会保障和就业（类）行政事业单位离退休（款）机关事业单位基本养老保险缴费支出（项）：反映机关事业单位实施养老保险制度由单位缴纳的基本养老保险费支出。</w:t>
      </w:r>
    </w:p>
    <w:p>
      <w:pPr>
        <w:spacing w:line="576" w:lineRule="exact"/>
        <w:ind w:firstLine="640" w:firstLineChars="200"/>
        <w:rPr>
          <w:rFonts w:eastAsia="仿宋_GB2312"/>
          <w:color w:val="000000"/>
          <w:sz w:val="32"/>
          <w:szCs w:val="32"/>
        </w:rPr>
      </w:pPr>
      <w:r>
        <w:rPr>
          <w:rFonts w:eastAsia="仿宋_GB2312"/>
          <w:color w:val="000000"/>
          <w:sz w:val="32"/>
          <w:szCs w:val="32"/>
        </w:rPr>
        <w:t>11. 社会保障和就业（类）行政事业单位离退休（款）机关事业单位职业年金缴费支出（项）：反映机关事业单位实施养老保险制度由单位缴纳的职业年金支出。</w:t>
      </w:r>
    </w:p>
    <w:p>
      <w:pPr>
        <w:spacing w:line="576" w:lineRule="exact"/>
        <w:ind w:firstLine="640" w:firstLineChars="200"/>
        <w:rPr>
          <w:rFonts w:eastAsia="仿宋_GB2312"/>
          <w:color w:val="000000"/>
          <w:sz w:val="32"/>
          <w:szCs w:val="32"/>
        </w:rPr>
      </w:pPr>
      <w:r>
        <w:rPr>
          <w:rFonts w:eastAsia="仿宋_GB2312"/>
          <w:color w:val="000000"/>
          <w:sz w:val="32"/>
          <w:szCs w:val="32"/>
        </w:rPr>
        <w:t>12.社会保障和就业（类）其他社会保障和就业支出（款）其他社会保障和就业支出（项）：反映上述项目以外其他用于社会保障和就业方面的支出。</w:t>
      </w:r>
    </w:p>
    <w:p>
      <w:pPr>
        <w:spacing w:line="576" w:lineRule="exact"/>
        <w:ind w:firstLine="640" w:firstLineChars="200"/>
        <w:rPr>
          <w:rFonts w:eastAsia="仿宋_GB2312"/>
          <w:color w:val="000000"/>
          <w:sz w:val="32"/>
          <w:szCs w:val="32"/>
        </w:rPr>
      </w:pPr>
      <w:r>
        <w:rPr>
          <w:rFonts w:eastAsia="仿宋_GB2312"/>
          <w:color w:val="000000"/>
          <w:sz w:val="32"/>
          <w:szCs w:val="32"/>
        </w:rPr>
        <w:t>13.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p>
    <w:p>
      <w:pPr>
        <w:spacing w:line="576" w:lineRule="exact"/>
        <w:ind w:firstLine="640" w:firstLineChars="200"/>
        <w:rPr>
          <w:rFonts w:eastAsia="仿宋_GB2312"/>
          <w:color w:val="000000"/>
          <w:sz w:val="32"/>
          <w:szCs w:val="32"/>
        </w:rPr>
      </w:pPr>
      <w:r>
        <w:rPr>
          <w:rFonts w:eastAsia="仿宋_GB2312"/>
          <w:color w:val="000000"/>
          <w:sz w:val="32"/>
          <w:szCs w:val="32"/>
        </w:rPr>
        <w:t>14.医疗卫生与计划生育（类）行政事业单位医疗（款）公务员补充医疗补助（项）：反映财政部门集中安排的公务员医疗补助经费。</w:t>
      </w:r>
    </w:p>
    <w:p>
      <w:pPr>
        <w:spacing w:line="576" w:lineRule="exact"/>
        <w:ind w:firstLine="640" w:firstLineChars="200"/>
        <w:rPr>
          <w:rFonts w:eastAsia="仿宋_GB2312"/>
          <w:color w:val="000000"/>
          <w:sz w:val="32"/>
          <w:szCs w:val="32"/>
        </w:rPr>
      </w:pPr>
      <w:r>
        <w:rPr>
          <w:rFonts w:eastAsia="仿宋_GB2312"/>
          <w:color w:val="000000"/>
          <w:sz w:val="32"/>
          <w:szCs w:val="32"/>
        </w:rPr>
        <w:t>15.住房保障（类）住房改革支出（款）住房公积金（项）：反映行政事业单位按人力资源和社会保障部、财政部规定的基本工资和津贴补贴以及规定比例为职工缴纳的住房公积金。</w:t>
      </w:r>
    </w:p>
    <w:p>
      <w:pPr>
        <w:spacing w:line="576" w:lineRule="exact"/>
        <w:ind w:firstLine="640" w:firstLineChars="200"/>
        <w:rPr>
          <w:rFonts w:eastAsia="仿宋_GB2312"/>
          <w:color w:val="000000"/>
          <w:sz w:val="32"/>
          <w:szCs w:val="32"/>
        </w:rPr>
      </w:pPr>
      <w:r>
        <w:rPr>
          <w:rFonts w:eastAsia="仿宋_GB2312"/>
          <w:color w:val="000000"/>
          <w:sz w:val="32"/>
          <w:szCs w:val="32"/>
        </w:rPr>
        <w:t>16.住房保障（类）住房改革支出（款）购房补贴（项）：反映按房改政策规定，行政事业单位向符合条件职工（含离退休人员）、军队（含武警）向转役复员离退休人员发放的用于购买住房的补贴。</w:t>
      </w:r>
    </w:p>
    <w:p>
      <w:pPr>
        <w:spacing w:line="576" w:lineRule="exact"/>
        <w:ind w:firstLine="640" w:firstLineChars="200"/>
        <w:rPr>
          <w:rFonts w:eastAsia="仿宋_GB2312"/>
          <w:color w:val="000000"/>
          <w:sz w:val="32"/>
          <w:szCs w:val="32"/>
        </w:rPr>
      </w:pPr>
      <w:r>
        <w:rPr>
          <w:rFonts w:eastAsia="仿宋_GB2312"/>
          <w:color w:val="000000"/>
          <w:sz w:val="32"/>
          <w:szCs w:val="32"/>
        </w:rPr>
        <w:t>17.基本支出：指为保障机构正常运转、完成日常工作任务而发生的人员支出和公用支出。</w:t>
      </w:r>
    </w:p>
    <w:p>
      <w:pPr>
        <w:spacing w:line="576" w:lineRule="exact"/>
        <w:ind w:firstLine="640" w:firstLineChars="200"/>
        <w:rPr>
          <w:rFonts w:eastAsia="仿宋_GB2312"/>
          <w:color w:val="000000"/>
          <w:sz w:val="32"/>
          <w:szCs w:val="32"/>
        </w:rPr>
      </w:pPr>
      <w:r>
        <w:rPr>
          <w:rFonts w:eastAsia="仿宋_GB2312"/>
          <w:color w:val="000000"/>
          <w:sz w:val="32"/>
          <w:szCs w:val="32"/>
        </w:rPr>
        <w:t xml:space="preserve">18.项目支出：指在基本支出之外为完成特定行政任务和事业发展目标所发生的支出。 </w:t>
      </w:r>
    </w:p>
    <w:p>
      <w:pPr>
        <w:spacing w:line="576" w:lineRule="exact"/>
        <w:ind w:firstLine="640" w:firstLineChars="200"/>
        <w:rPr>
          <w:rFonts w:eastAsia="仿宋_GB2312"/>
          <w:color w:val="000000"/>
          <w:sz w:val="32"/>
          <w:szCs w:val="32"/>
        </w:rPr>
      </w:pPr>
      <w:r>
        <w:rPr>
          <w:rFonts w:eastAsia="仿宋_GB2312"/>
          <w:color w:val="000000"/>
          <w:sz w:val="32"/>
          <w:szCs w:val="32"/>
        </w:rPr>
        <w:t>19.经营支出：指事业单位在专业业务活动及其辅助活动之外开展非独立核算经营活动发生的支出。</w:t>
      </w:r>
    </w:p>
    <w:p>
      <w:pPr>
        <w:pStyle w:val="24"/>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三公”经费：纳入州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4"/>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22.一般公共服务支出（201） :指行政单位（包括实行公务员管理的事业单位）的基本支出。</w:t>
      </w:r>
    </w:p>
    <w:p>
      <w:pPr>
        <w:spacing w:line="576" w:lineRule="exact"/>
        <w:ind w:firstLine="640" w:firstLineChars="200"/>
        <w:rPr>
          <w:rFonts w:eastAsia="仿宋_GB2312"/>
          <w:color w:val="000000"/>
          <w:sz w:val="32"/>
          <w:szCs w:val="32"/>
        </w:rPr>
      </w:pPr>
      <w:r>
        <w:rPr>
          <w:rFonts w:eastAsia="仿宋_GB2312"/>
          <w:color w:val="000000"/>
          <w:sz w:val="32"/>
          <w:szCs w:val="32"/>
        </w:rPr>
        <w:t>27.基本支出：指为保障机构正常运转、完成日常工作任务而发生的人员支出和公用支出。</w:t>
      </w:r>
    </w:p>
    <w:p>
      <w:pPr>
        <w:spacing w:line="576" w:lineRule="exact"/>
        <w:ind w:firstLine="640" w:firstLineChars="200"/>
        <w:rPr>
          <w:rFonts w:eastAsia="仿宋_GB2312"/>
          <w:color w:val="000000"/>
          <w:sz w:val="32"/>
          <w:szCs w:val="32"/>
        </w:rPr>
      </w:pPr>
      <w:r>
        <w:rPr>
          <w:rFonts w:eastAsia="仿宋_GB2312"/>
          <w:color w:val="000000"/>
          <w:sz w:val="32"/>
          <w:szCs w:val="32"/>
        </w:rPr>
        <w:t xml:space="preserve">28.项目支出：指在基本支出之外为完成特定行政任务和事业发展目标所发生的支出。 </w:t>
      </w:r>
    </w:p>
    <w:p>
      <w:pPr>
        <w:spacing w:line="576" w:lineRule="exact"/>
        <w:ind w:firstLine="640" w:firstLineChars="200"/>
        <w:rPr>
          <w:rFonts w:eastAsia="仿宋_GB2312"/>
          <w:color w:val="000000"/>
          <w:sz w:val="32"/>
          <w:szCs w:val="32"/>
        </w:rPr>
      </w:pPr>
      <w:r>
        <w:rPr>
          <w:rFonts w:eastAsia="仿宋_GB2312"/>
          <w:color w:val="000000"/>
          <w:sz w:val="32"/>
          <w:szCs w:val="32"/>
        </w:rPr>
        <w:t>29.经营支出：指事业单位在专业业务活动及其辅助活动之外开展非独立核算经营活动发生的支出。</w:t>
      </w:r>
    </w:p>
    <w:p>
      <w:pPr>
        <w:pStyle w:val="24"/>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883" w:firstLineChars="200"/>
        <w:rPr>
          <w:rStyle w:val="26"/>
          <w:rFonts w:eastAsia="仿宋"/>
          <w:b w:val="0"/>
          <w:bCs w:val="0"/>
          <w:kern w:val="2"/>
          <w:sz w:val="32"/>
          <w:szCs w:val="32"/>
        </w:rPr>
      </w:pPr>
      <w:bookmarkStart w:id="53" w:name="_Toc15377226"/>
      <w:r>
        <w:rPr>
          <w:b/>
          <w:color w:val="000000"/>
          <w:sz w:val="44"/>
          <w:szCs w:val="44"/>
        </w:rPr>
        <w:br w:type="page"/>
      </w:r>
    </w:p>
    <w:p>
      <w:pPr>
        <w:spacing w:line="576" w:lineRule="exact"/>
        <w:jc w:val="center"/>
        <w:outlineLvl w:val="0"/>
        <w:rPr>
          <w:rStyle w:val="26"/>
          <w:rFonts w:eastAsia="黑体"/>
          <w:b w:val="0"/>
        </w:rPr>
      </w:pPr>
      <w:bookmarkStart w:id="54" w:name="_Toc15396618"/>
      <w:r>
        <w:rPr>
          <w:rFonts w:eastAsia="黑体"/>
          <w:color w:val="000000"/>
          <w:sz w:val="44"/>
          <w:szCs w:val="44"/>
        </w:rPr>
        <w:t>第</w:t>
      </w:r>
      <w:r>
        <w:rPr>
          <w:rFonts w:hint="eastAsia" w:eastAsia="黑体"/>
          <w:color w:val="000000"/>
          <w:sz w:val="44"/>
          <w:szCs w:val="44"/>
        </w:rPr>
        <w:t>四</w:t>
      </w:r>
      <w:r>
        <w:rPr>
          <w:rStyle w:val="26"/>
          <w:rFonts w:eastAsia="黑体"/>
          <w:b w:val="0"/>
        </w:rPr>
        <w:t>部分 附表</w:t>
      </w:r>
      <w:bookmarkEnd w:id="53"/>
      <w:bookmarkEnd w:id="54"/>
    </w:p>
    <w:p>
      <w:pPr>
        <w:spacing w:line="576" w:lineRule="exact"/>
        <w:jc w:val="center"/>
        <w:outlineLvl w:val="0"/>
        <w:rPr>
          <w:rFonts w:eastAsia="仿宋"/>
          <w:b/>
          <w:color w:val="000000"/>
          <w:sz w:val="44"/>
          <w:szCs w:val="44"/>
        </w:rPr>
      </w:pPr>
    </w:p>
    <w:p>
      <w:pPr>
        <w:pStyle w:val="4"/>
        <w:spacing w:before="0" w:after="0" w:line="576" w:lineRule="exact"/>
        <w:rPr>
          <w:rFonts w:ascii="Times New Roman" w:hAnsi="Times New Roman" w:eastAsia="仿宋" w:cs="Times New Roman"/>
          <w:color w:val="000000"/>
        </w:rPr>
      </w:pPr>
      <w:bookmarkStart w:id="55" w:name="_Toc15396619"/>
      <w:r>
        <w:rPr>
          <w:rFonts w:ascii="Times New Roman" w:hAnsi="Times New Roman" w:eastAsia="仿宋" w:cs="Times New Roman"/>
          <w:b w:val="0"/>
          <w:color w:val="000000"/>
        </w:rPr>
        <w:t>一、收</w:t>
      </w:r>
      <w:r>
        <w:rPr>
          <w:rStyle w:val="27"/>
          <w:rFonts w:ascii="Times New Roman" w:hAnsi="Times New Roman" w:eastAsia="仿宋" w:cs="Times New Roman"/>
          <w:b w:val="0"/>
          <w:bCs w:val="0"/>
        </w:rPr>
        <w:t>入支出决算总表</w:t>
      </w:r>
      <w:bookmarkEnd w:id="55"/>
    </w:p>
    <w:p>
      <w:pPr>
        <w:pStyle w:val="4"/>
        <w:spacing w:before="0" w:after="0" w:line="576" w:lineRule="exact"/>
        <w:rPr>
          <w:rFonts w:ascii="Times New Roman" w:hAnsi="Times New Roman" w:eastAsia="仿宋" w:cs="Times New Roman"/>
          <w:color w:val="000000"/>
        </w:rPr>
      </w:pPr>
      <w:bookmarkStart w:id="56" w:name="_Toc15396620"/>
      <w:r>
        <w:rPr>
          <w:rFonts w:ascii="Times New Roman" w:hAnsi="Times New Roman" w:eastAsia="仿宋" w:cs="Times New Roman"/>
          <w:b w:val="0"/>
          <w:color w:val="000000"/>
        </w:rPr>
        <w:t>二、收</w:t>
      </w:r>
      <w:r>
        <w:rPr>
          <w:rStyle w:val="27"/>
          <w:rFonts w:ascii="Times New Roman" w:hAnsi="Times New Roman" w:eastAsia="仿宋" w:cs="Times New Roman"/>
          <w:b w:val="0"/>
          <w:bCs w:val="0"/>
        </w:rPr>
        <w:t>入总表</w:t>
      </w:r>
      <w:bookmarkEnd w:id="56"/>
    </w:p>
    <w:p>
      <w:pPr>
        <w:pStyle w:val="4"/>
        <w:spacing w:before="0" w:after="0" w:line="576" w:lineRule="exact"/>
        <w:rPr>
          <w:rFonts w:ascii="Times New Roman" w:hAnsi="Times New Roman" w:eastAsia="仿宋" w:cs="Times New Roman"/>
          <w:color w:val="000000"/>
        </w:rPr>
      </w:pPr>
      <w:bookmarkStart w:id="57" w:name="_Toc15396621"/>
      <w:r>
        <w:rPr>
          <w:rStyle w:val="27"/>
          <w:rFonts w:ascii="Times New Roman" w:hAnsi="Times New Roman" w:eastAsia="仿宋" w:cs="Times New Roman"/>
          <w:b w:val="0"/>
          <w:bCs w:val="0"/>
        </w:rPr>
        <w:t>三、</w:t>
      </w:r>
      <w:r>
        <w:rPr>
          <w:rFonts w:ascii="Times New Roman" w:hAnsi="Times New Roman" w:eastAsia="仿宋" w:cs="Times New Roman"/>
          <w:b w:val="0"/>
          <w:color w:val="000000"/>
        </w:rPr>
        <w:t>支</w:t>
      </w:r>
      <w:r>
        <w:rPr>
          <w:rStyle w:val="27"/>
          <w:rFonts w:ascii="Times New Roman" w:hAnsi="Times New Roman" w:eastAsia="仿宋" w:cs="Times New Roman"/>
          <w:b w:val="0"/>
          <w:bCs w:val="0"/>
        </w:rPr>
        <w:t>出总表</w:t>
      </w:r>
      <w:bookmarkEnd w:id="57"/>
    </w:p>
    <w:p>
      <w:pPr>
        <w:pStyle w:val="4"/>
        <w:spacing w:before="0" w:after="0" w:line="576" w:lineRule="exact"/>
        <w:rPr>
          <w:rFonts w:ascii="Times New Roman" w:hAnsi="Times New Roman" w:eastAsia="仿宋" w:cs="Times New Roman"/>
          <w:b w:val="0"/>
          <w:color w:val="000000"/>
        </w:rPr>
      </w:pPr>
      <w:bookmarkStart w:id="58" w:name="_Toc15396622"/>
      <w:r>
        <w:rPr>
          <w:rStyle w:val="27"/>
          <w:rFonts w:ascii="Times New Roman" w:hAnsi="Times New Roman" w:eastAsia="仿宋" w:cs="Times New Roman"/>
          <w:b w:val="0"/>
          <w:bCs w:val="0"/>
        </w:rPr>
        <w:t>四、</w:t>
      </w:r>
      <w:r>
        <w:rPr>
          <w:rFonts w:ascii="Times New Roman" w:hAnsi="Times New Roman" w:eastAsia="仿宋" w:cs="Times New Roman"/>
          <w:b w:val="0"/>
          <w:color w:val="000000"/>
        </w:rPr>
        <w:t>财</w:t>
      </w:r>
      <w:r>
        <w:rPr>
          <w:rStyle w:val="27"/>
          <w:rFonts w:ascii="Times New Roman" w:hAnsi="Times New Roman" w:eastAsia="仿宋" w:cs="Times New Roman"/>
          <w:b w:val="0"/>
          <w:bCs w:val="0"/>
        </w:rPr>
        <w:t>政拨款收入支出决算总表</w:t>
      </w:r>
      <w:bookmarkEnd w:id="58"/>
    </w:p>
    <w:p>
      <w:pPr>
        <w:pStyle w:val="4"/>
        <w:spacing w:before="0" w:after="0" w:line="576" w:lineRule="exact"/>
        <w:rPr>
          <w:rFonts w:ascii="Times New Roman" w:hAnsi="Times New Roman" w:eastAsia="仿宋" w:cs="Times New Roman"/>
          <w:color w:val="000000"/>
        </w:rPr>
      </w:pPr>
      <w:bookmarkStart w:id="59" w:name="_Toc15396623"/>
      <w:r>
        <w:rPr>
          <w:rStyle w:val="27"/>
          <w:rFonts w:ascii="Times New Roman" w:hAnsi="Times New Roman" w:eastAsia="仿宋" w:cs="Times New Roman"/>
          <w:b w:val="0"/>
          <w:bCs w:val="0"/>
        </w:rPr>
        <w:t>五、</w:t>
      </w:r>
      <w:r>
        <w:rPr>
          <w:rFonts w:ascii="Times New Roman" w:hAnsi="Times New Roman" w:eastAsia="仿宋" w:cs="Times New Roman"/>
          <w:b w:val="0"/>
          <w:color w:val="000000"/>
        </w:rPr>
        <w:t>财</w:t>
      </w:r>
      <w:r>
        <w:rPr>
          <w:rStyle w:val="27"/>
          <w:rFonts w:ascii="Times New Roman" w:hAnsi="Times New Roman" w:eastAsia="仿宋" w:cs="Times New Roman"/>
          <w:b w:val="0"/>
          <w:bCs w:val="0"/>
        </w:rPr>
        <w:t>政拨款支出决算明细表（政府经济分类科目）</w:t>
      </w:r>
      <w:bookmarkEnd w:id="59"/>
    </w:p>
    <w:p>
      <w:pPr>
        <w:pStyle w:val="4"/>
        <w:spacing w:before="0" w:after="0" w:line="576" w:lineRule="exact"/>
        <w:rPr>
          <w:rFonts w:ascii="Times New Roman" w:hAnsi="Times New Roman" w:eastAsia="仿宋" w:cs="Times New Roman"/>
          <w:color w:val="000000"/>
        </w:rPr>
      </w:pPr>
      <w:bookmarkStart w:id="60" w:name="_Toc15396624"/>
      <w:r>
        <w:rPr>
          <w:rStyle w:val="27"/>
          <w:rFonts w:ascii="Times New Roman" w:hAnsi="Times New Roman" w:eastAsia="仿宋" w:cs="Times New Roman"/>
          <w:b w:val="0"/>
          <w:bCs w:val="0"/>
        </w:rPr>
        <w:t>六、</w:t>
      </w:r>
      <w:r>
        <w:rPr>
          <w:rFonts w:ascii="Times New Roman" w:hAnsi="Times New Roman" w:eastAsia="仿宋" w:cs="Times New Roman"/>
          <w:b w:val="0"/>
          <w:color w:val="000000"/>
        </w:rPr>
        <w:t>一</w:t>
      </w:r>
      <w:r>
        <w:rPr>
          <w:rStyle w:val="27"/>
          <w:rFonts w:ascii="Times New Roman" w:hAnsi="Times New Roman" w:eastAsia="仿宋" w:cs="Times New Roman"/>
          <w:b w:val="0"/>
          <w:bCs w:val="0"/>
        </w:rPr>
        <w:t>般公共预算财政拨款支出决算表</w:t>
      </w:r>
      <w:bookmarkEnd w:id="60"/>
    </w:p>
    <w:p>
      <w:pPr>
        <w:pStyle w:val="4"/>
        <w:spacing w:before="0" w:after="0" w:line="576" w:lineRule="exact"/>
        <w:rPr>
          <w:rFonts w:ascii="Times New Roman" w:hAnsi="Times New Roman" w:eastAsia="仿宋" w:cs="Times New Roman"/>
          <w:color w:val="000000"/>
        </w:rPr>
      </w:pPr>
      <w:bookmarkStart w:id="61" w:name="_Toc15396625"/>
      <w:r>
        <w:rPr>
          <w:rStyle w:val="27"/>
          <w:rFonts w:ascii="Times New Roman" w:hAnsi="Times New Roman" w:eastAsia="仿宋" w:cs="Times New Roman"/>
          <w:b w:val="0"/>
          <w:bCs w:val="0"/>
        </w:rPr>
        <w:t>七、</w:t>
      </w:r>
      <w:r>
        <w:rPr>
          <w:rFonts w:ascii="Times New Roman" w:hAnsi="Times New Roman" w:eastAsia="仿宋" w:cs="Times New Roman"/>
          <w:b w:val="0"/>
          <w:color w:val="000000"/>
        </w:rPr>
        <w:t>一</w:t>
      </w:r>
      <w:r>
        <w:rPr>
          <w:rStyle w:val="27"/>
          <w:rFonts w:ascii="Times New Roman" w:hAnsi="Times New Roman" w:eastAsia="仿宋" w:cs="Times New Roman"/>
          <w:b w:val="0"/>
          <w:bCs w:val="0"/>
        </w:rPr>
        <w:t>般公共预算财政拨款支出决算明细表</w:t>
      </w:r>
      <w:bookmarkEnd w:id="61"/>
    </w:p>
    <w:p>
      <w:pPr>
        <w:pStyle w:val="4"/>
        <w:spacing w:before="0" w:after="0" w:line="576" w:lineRule="exact"/>
        <w:rPr>
          <w:rFonts w:ascii="Times New Roman" w:hAnsi="Times New Roman" w:eastAsia="仿宋" w:cs="Times New Roman"/>
          <w:color w:val="000000"/>
        </w:rPr>
      </w:pPr>
      <w:bookmarkStart w:id="62" w:name="_Toc15396626"/>
      <w:r>
        <w:rPr>
          <w:rStyle w:val="27"/>
          <w:rFonts w:ascii="Times New Roman" w:hAnsi="Times New Roman" w:eastAsia="仿宋" w:cs="Times New Roman"/>
          <w:b w:val="0"/>
          <w:bCs w:val="0"/>
        </w:rPr>
        <w:t>八、</w:t>
      </w:r>
      <w:r>
        <w:rPr>
          <w:rFonts w:ascii="Times New Roman" w:hAnsi="Times New Roman" w:eastAsia="仿宋" w:cs="Times New Roman"/>
          <w:b w:val="0"/>
          <w:color w:val="000000"/>
        </w:rPr>
        <w:t>一</w:t>
      </w:r>
      <w:r>
        <w:rPr>
          <w:rStyle w:val="27"/>
          <w:rFonts w:ascii="Times New Roman" w:hAnsi="Times New Roman" w:eastAsia="仿宋" w:cs="Times New Roman"/>
          <w:b w:val="0"/>
          <w:bCs w:val="0"/>
        </w:rPr>
        <w:t>般公共预算财政拨款基本支出决算表</w:t>
      </w:r>
      <w:bookmarkEnd w:id="62"/>
    </w:p>
    <w:p>
      <w:pPr>
        <w:pStyle w:val="4"/>
        <w:spacing w:before="0" w:after="0" w:line="576" w:lineRule="exact"/>
        <w:rPr>
          <w:rFonts w:ascii="Times New Roman" w:hAnsi="Times New Roman" w:eastAsia="仿宋" w:cs="Times New Roman"/>
          <w:color w:val="000000"/>
        </w:rPr>
      </w:pPr>
      <w:bookmarkStart w:id="63" w:name="_Toc15396627"/>
      <w:r>
        <w:rPr>
          <w:rStyle w:val="27"/>
          <w:rFonts w:ascii="Times New Roman" w:hAnsi="Times New Roman" w:eastAsia="仿宋" w:cs="Times New Roman"/>
          <w:b w:val="0"/>
          <w:bCs w:val="0"/>
        </w:rPr>
        <w:t>九、</w:t>
      </w:r>
      <w:r>
        <w:rPr>
          <w:rFonts w:ascii="Times New Roman" w:hAnsi="Times New Roman" w:eastAsia="仿宋" w:cs="Times New Roman"/>
          <w:b w:val="0"/>
          <w:color w:val="000000"/>
        </w:rPr>
        <w:t>一</w:t>
      </w:r>
      <w:r>
        <w:rPr>
          <w:rStyle w:val="27"/>
          <w:rFonts w:ascii="Times New Roman" w:hAnsi="Times New Roman" w:eastAsia="仿宋" w:cs="Times New Roman"/>
          <w:b w:val="0"/>
          <w:bCs w:val="0"/>
        </w:rPr>
        <w:t>般公共预算财政拨款项目支出决算表</w:t>
      </w:r>
      <w:bookmarkEnd w:id="63"/>
    </w:p>
    <w:p>
      <w:pPr>
        <w:pStyle w:val="4"/>
        <w:spacing w:before="0" w:after="0" w:line="576" w:lineRule="exact"/>
        <w:rPr>
          <w:rFonts w:ascii="Times New Roman" w:hAnsi="Times New Roman" w:eastAsia="仿宋" w:cs="Times New Roman"/>
          <w:color w:val="000000"/>
        </w:rPr>
      </w:pPr>
      <w:bookmarkStart w:id="64" w:name="_Toc15396628"/>
      <w:r>
        <w:rPr>
          <w:rStyle w:val="27"/>
          <w:rFonts w:ascii="Times New Roman" w:hAnsi="Times New Roman" w:eastAsia="仿宋" w:cs="Times New Roman"/>
          <w:b w:val="0"/>
          <w:bCs w:val="0"/>
        </w:rPr>
        <w:t>十、</w:t>
      </w:r>
      <w:r>
        <w:rPr>
          <w:rFonts w:ascii="Times New Roman" w:hAnsi="Times New Roman" w:eastAsia="仿宋" w:cs="Times New Roman"/>
          <w:b w:val="0"/>
          <w:color w:val="000000"/>
        </w:rPr>
        <w:t>一</w:t>
      </w:r>
      <w:r>
        <w:rPr>
          <w:rStyle w:val="27"/>
          <w:rFonts w:ascii="Times New Roman" w:hAnsi="Times New Roman" w:eastAsia="仿宋" w:cs="Times New Roman"/>
          <w:b w:val="0"/>
          <w:bCs w:val="0"/>
        </w:rPr>
        <w:t>般公共预算财政拨款“三公”经费支出决算表</w:t>
      </w:r>
      <w:bookmarkEnd w:id="64"/>
    </w:p>
    <w:p>
      <w:pPr>
        <w:pStyle w:val="4"/>
        <w:spacing w:before="0" w:after="0" w:line="576" w:lineRule="exact"/>
        <w:rPr>
          <w:rFonts w:ascii="Times New Roman" w:hAnsi="Times New Roman" w:eastAsia="仿宋" w:cs="Times New Roman"/>
          <w:color w:val="000000"/>
        </w:rPr>
      </w:pPr>
      <w:bookmarkStart w:id="65" w:name="_Toc15396629"/>
      <w:r>
        <w:rPr>
          <w:rStyle w:val="27"/>
          <w:rFonts w:ascii="Times New Roman" w:hAnsi="Times New Roman" w:eastAsia="仿宋" w:cs="Times New Roman"/>
          <w:b w:val="0"/>
          <w:bCs w:val="0"/>
        </w:rPr>
        <w:t>十一、</w:t>
      </w:r>
      <w:r>
        <w:rPr>
          <w:rFonts w:ascii="Times New Roman" w:hAnsi="Times New Roman" w:eastAsia="仿宋" w:cs="Times New Roman"/>
          <w:b w:val="0"/>
          <w:color w:val="000000"/>
        </w:rPr>
        <w:t>政</w:t>
      </w:r>
      <w:r>
        <w:rPr>
          <w:rStyle w:val="27"/>
          <w:rFonts w:ascii="Times New Roman" w:hAnsi="Times New Roman" w:eastAsia="仿宋" w:cs="Times New Roman"/>
          <w:b w:val="0"/>
          <w:bCs w:val="0"/>
        </w:rPr>
        <w:t>府性基金预算财政拨款收入支出决算表</w:t>
      </w:r>
      <w:bookmarkEnd w:id="65"/>
    </w:p>
    <w:p>
      <w:pPr>
        <w:pStyle w:val="4"/>
        <w:spacing w:before="0" w:after="0" w:line="576" w:lineRule="exact"/>
        <w:rPr>
          <w:rFonts w:ascii="Times New Roman" w:hAnsi="Times New Roman" w:eastAsia="仿宋" w:cs="Times New Roman"/>
          <w:color w:val="000000"/>
        </w:rPr>
      </w:pPr>
      <w:bookmarkStart w:id="66" w:name="_Toc15396630"/>
      <w:r>
        <w:rPr>
          <w:rStyle w:val="27"/>
          <w:rFonts w:ascii="Times New Roman" w:hAnsi="Times New Roman" w:eastAsia="仿宋" w:cs="Times New Roman"/>
          <w:b w:val="0"/>
          <w:bCs w:val="0"/>
        </w:rPr>
        <w:t>十二、</w:t>
      </w:r>
      <w:r>
        <w:rPr>
          <w:rFonts w:ascii="Times New Roman" w:hAnsi="Times New Roman" w:eastAsia="仿宋" w:cs="Times New Roman"/>
          <w:b w:val="0"/>
          <w:color w:val="000000"/>
        </w:rPr>
        <w:t>政</w:t>
      </w:r>
      <w:r>
        <w:rPr>
          <w:rStyle w:val="27"/>
          <w:rFonts w:ascii="Times New Roman" w:hAnsi="Times New Roman" w:eastAsia="仿宋" w:cs="Times New Roman"/>
          <w:b w:val="0"/>
          <w:bCs w:val="0"/>
        </w:rPr>
        <w:t>府性基金预算财政拨款“三公”经费支出决算表</w:t>
      </w:r>
      <w:bookmarkEnd w:id="66"/>
    </w:p>
    <w:p>
      <w:pPr>
        <w:pStyle w:val="4"/>
        <w:spacing w:before="0" w:after="0" w:line="576" w:lineRule="exact"/>
        <w:rPr>
          <w:rFonts w:ascii="Times New Roman" w:hAnsi="Times New Roman" w:eastAsia="仿宋" w:cs="Times New Roman"/>
          <w:color w:val="000000" w:themeColor="text1"/>
        </w:rPr>
      </w:pPr>
      <w:bookmarkStart w:id="67" w:name="_Toc15396631"/>
      <w:r>
        <w:rPr>
          <w:rStyle w:val="27"/>
          <w:rFonts w:ascii="Times New Roman" w:hAnsi="Times New Roman" w:eastAsia="仿宋" w:cs="Times New Roman"/>
          <w:b w:val="0"/>
          <w:bCs w:val="0"/>
        </w:rPr>
        <w:t>十三、</w:t>
      </w:r>
      <w:r>
        <w:rPr>
          <w:rFonts w:ascii="Times New Roman" w:hAnsi="Times New Roman" w:eastAsia="仿宋" w:cs="Times New Roman"/>
          <w:b w:val="0"/>
          <w:color w:val="000000"/>
        </w:rPr>
        <w:t>国</w:t>
      </w:r>
      <w:r>
        <w:rPr>
          <w:rStyle w:val="27"/>
          <w:rFonts w:ascii="Times New Roman" w:hAnsi="Times New Roman" w:eastAsia="仿宋" w:cs="Times New Roman"/>
          <w:b w:val="0"/>
          <w:bCs w:val="0"/>
        </w:rPr>
        <w:t>有资本经营预算支出决算表</w:t>
      </w:r>
      <w:bookmarkEnd w:id="67"/>
    </w:p>
    <w:sectPr>
      <w:footerReference r:id="rId10" w:type="default"/>
      <w:pgSz w:w="11906" w:h="16838"/>
      <w:pgMar w:top="2120" w:right="1463" w:bottom="2007" w:left="1576"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altName w:val="方正舒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9"/>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42D7"/>
    <w:rsid w:val="000222C6"/>
    <w:rsid w:val="0002549F"/>
    <w:rsid w:val="0006487A"/>
    <w:rsid w:val="00065F8F"/>
    <w:rsid w:val="000768F2"/>
    <w:rsid w:val="00080D8A"/>
    <w:rsid w:val="0009184B"/>
    <w:rsid w:val="0009593C"/>
    <w:rsid w:val="000B047F"/>
    <w:rsid w:val="000B5923"/>
    <w:rsid w:val="000B5A48"/>
    <w:rsid w:val="000B6FF3"/>
    <w:rsid w:val="000C3467"/>
    <w:rsid w:val="000C3CA6"/>
    <w:rsid w:val="000D1267"/>
    <w:rsid w:val="000D1D50"/>
    <w:rsid w:val="000D5782"/>
    <w:rsid w:val="000E41C0"/>
    <w:rsid w:val="000E6613"/>
    <w:rsid w:val="000E7119"/>
    <w:rsid w:val="00114E9B"/>
    <w:rsid w:val="0014729F"/>
    <w:rsid w:val="00157BAB"/>
    <w:rsid w:val="001654D1"/>
    <w:rsid w:val="0018106D"/>
    <w:rsid w:val="001877A7"/>
    <w:rsid w:val="00191536"/>
    <w:rsid w:val="00196687"/>
    <w:rsid w:val="001A2CB3"/>
    <w:rsid w:val="001C0962"/>
    <w:rsid w:val="001D5849"/>
    <w:rsid w:val="001D7531"/>
    <w:rsid w:val="001E4CB9"/>
    <w:rsid w:val="001E737D"/>
    <w:rsid w:val="001F0592"/>
    <w:rsid w:val="001F7506"/>
    <w:rsid w:val="002006CD"/>
    <w:rsid w:val="00202B36"/>
    <w:rsid w:val="00204B7A"/>
    <w:rsid w:val="0021101A"/>
    <w:rsid w:val="00220536"/>
    <w:rsid w:val="0023079F"/>
    <w:rsid w:val="00235629"/>
    <w:rsid w:val="00260C38"/>
    <w:rsid w:val="002616C0"/>
    <w:rsid w:val="002662AA"/>
    <w:rsid w:val="00280496"/>
    <w:rsid w:val="002900A4"/>
    <w:rsid w:val="00295495"/>
    <w:rsid w:val="002B2613"/>
    <w:rsid w:val="002F1818"/>
    <w:rsid w:val="002F567B"/>
    <w:rsid w:val="003216A9"/>
    <w:rsid w:val="00356E7D"/>
    <w:rsid w:val="0037013F"/>
    <w:rsid w:val="00370BE4"/>
    <w:rsid w:val="00371F8B"/>
    <w:rsid w:val="00380C92"/>
    <w:rsid w:val="00393B1D"/>
    <w:rsid w:val="003A484F"/>
    <w:rsid w:val="003B0BE0"/>
    <w:rsid w:val="003B0C1B"/>
    <w:rsid w:val="003B688C"/>
    <w:rsid w:val="003C0291"/>
    <w:rsid w:val="003C39AE"/>
    <w:rsid w:val="003C7B60"/>
    <w:rsid w:val="003D1FB2"/>
    <w:rsid w:val="003D66DA"/>
    <w:rsid w:val="003E1310"/>
    <w:rsid w:val="003E6F55"/>
    <w:rsid w:val="0040503F"/>
    <w:rsid w:val="00406254"/>
    <w:rsid w:val="004223DE"/>
    <w:rsid w:val="00434489"/>
    <w:rsid w:val="00437085"/>
    <w:rsid w:val="00443880"/>
    <w:rsid w:val="004464F4"/>
    <w:rsid w:val="00471401"/>
    <w:rsid w:val="00473F31"/>
    <w:rsid w:val="0048263A"/>
    <w:rsid w:val="00482938"/>
    <w:rsid w:val="00487E5D"/>
    <w:rsid w:val="004A711F"/>
    <w:rsid w:val="004B199D"/>
    <w:rsid w:val="004B4690"/>
    <w:rsid w:val="004E0A2D"/>
    <w:rsid w:val="004E206B"/>
    <w:rsid w:val="004E6DF7"/>
    <w:rsid w:val="004F0FBD"/>
    <w:rsid w:val="00505A47"/>
    <w:rsid w:val="00512FDA"/>
    <w:rsid w:val="00520DA0"/>
    <w:rsid w:val="00547083"/>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759C4"/>
    <w:rsid w:val="00676A35"/>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A2E13"/>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B7769"/>
    <w:rsid w:val="009C22F4"/>
    <w:rsid w:val="009C2E98"/>
    <w:rsid w:val="009D3447"/>
    <w:rsid w:val="009D4711"/>
    <w:rsid w:val="009F1185"/>
    <w:rsid w:val="009F18CD"/>
    <w:rsid w:val="009F2A13"/>
    <w:rsid w:val="009F31AC"/>
    <w:rsid w:val="00A04EB0"/>
    <w:rsid w:val="00A13CC1"/>
    <w:rsid w:val="00A16847"/>
    <w:rsid w:val="00A237D8"/>
    <w:rsid w:val="00A268C4"/>
    <w:rsid w:val="00A307CD"/>
    <w:rsid w:val="00A40A00"/>
    <w:rsid w:val="00A4142F"/>
    <w:rsid w:val="00A56DF2"/>
    <w:rsid w:val="00A63C1B"/>
    <w:rsid w:val="00A67AB5"/>
    <w:rsid w:val="00A91760"/>
    <w:rsid w:val="00A93B00"/>
    <w:rsid w:val="00A93C21"/>
    <w:rsid w:val="00AC3C6A"/>
    <w:rsid w:val="00AC7128"/>
    <w:rsid w:val="00AD5620"/>
    <w:rsid w:val="00AD7C1B"/>
    <w:rsid w:val="00AE16BA"/>
    <w:rsid w:val="00AE1EBE"/>
    <w:rsid w:val="00B03C9D"/>
    <w:rsid w:val="00B060AE"/>
    <w:rsid w:val="00B10517"/>
    <w:rsid w:val="00B14E76"/>
    <w:rsid w:val="00B161B8"/>
    <w:rsid w:val="00B2048C"/>
    <w:rsid w:val="00B24A2B"/>
    <w:rsid w:val="00B310B9"/>
    <w:rsid w:val="00B35F3F"/>
    <w:rsid w:val="00B36CBB"/>
    <w:rsid w:val="00B425E0"/>
    <w:rsid w:val="00B440AA"/>
    <w:rsid w:val="00B44B70"/>
    <w:rsid w:val="00B53C56"/>
    <w:rsid w:val="00B77EA6"/>
    <w:rsid w:val="00B81598"/>
    <w:rsid w:val="00B841F1"/>
    <w:rsid w:val="00B944D6"/>
    <w:rsid w:val="00BB0682"/>
    <w:rsid w:val="00BB4DF0"/>
    <w:rsid w:val="00BB7361"/>
    <w:rsid w:val="00BC289F"/>
    <w:rsid w:val="00BC5361"/>
    <w:rsid w:val="00BC5460"/>
    <w:rsid w:val="00BC6B50"/>
    <w:rsid w:val="00BD0E25"/>
    <w:rsid w:val="00BE5B69"/>
    <w:rsid w:val="00BF5BD6"/>
    <w:rsid w:val="00C03E31"/>
    <w:rsid w:val="00C159EF"/>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12650"/>
    <w:rsid w:val="00D20620"/>
    <w:rsid w:val="00D26091"/>
    <w:rsid w:val="00D34E7C"/>
    <w:rsid w:val="00D35489"/>
    <w:rsid w:val="00D51276"/>
    <w:rsid w:val="00D7035F"/>
    <w:rsid w:val="00DA0A2C"/>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005"/>
    <w:rsid w:val="00EF77C6"/>
    <w:rsid w:val="00F05438"/>
    <w:rsid w:val="00F1361C"/>
    <w:rsid w:val="00F160C7"/>
    <w:rsid w:val="00F36D8F"/>
    <w:rsid w:val="00F417B1"/>
    <w:rsid w:val="00F602DF"/>
    <w:rsid w:val="00F81FD9"/>
    <w:rsid w:val="00F841AA"/>
    <w:rsid w:val="00FA23E8"/>
    <w:rsid w:val="00FD3CC1"/>
    <w:rsid w:val="00FF1E02"/>
    <w:rsid w:val="00FF30B4"/>
    <w:rsid w:val="01125091"/>
    <w:rsid w:val="026E5EC0"/>
    <w:rsid w:val="03E83749"/>
    <w:rsid w:val="04014348"/>
    <w:rsid w:val="06356D54"/>
    <w:rsid w:val="06357515"/>
    <w:rsid w:val="0C753212"/>
    <w:rsid w:val="0C7D2E3D"/>
    <w:rsid w:val="0D3A0107"/>
    <w:rsid w:val="0F4F0413"/>
    <w:rsid w:val="105650E9"/>
    <w:rsid w:val="10C055FF"/>
    <w:rsid w:val="132C6851"/>
    <w:rsid w:val="139123FC"/>
    <w:rsid w:val="144C65F4"/>
    <w:rsid w:val="146C342C"/>
    <w:rsid w:val="15AD34FB"/>
    <w:rsid w:val="16BB723D"/>
    <w:rsid w:val="179747BA"/>
    <w:rsid w:val="184877EB"/>
    <w:rsid w:val="18736DF0"/>
    <w:rsid w:val="1A2D5E16"/>
    <w:rsid w:val="1B003C47"/>
    <w:rsid w:val="1D2D6C94"/>
    <w:rsid w:val="1D4375BF"/>
    <w:rsid w:val="1F445C77"/>
    <w:rsid w:val="234C1232"/>
    <w:rsid w:val="23DB3886"/>
    <w:rsid w:val="23E40C0C"/>
    <w:rsid w:val="240371BF"/>
    <w:rsid w:val="24C279C2"/>
    <w:rsid w:val="25CC1A43"/>
    <w:rsid w:val="268008AD"/>
    <w:rsid w:val="26E32C93"/>
    <w:rsid w:val="29FD04D3"/>
    <w:rsid w:val="2BD069E7"/>
    <w:rsid w:val="2BD55CE3"/>
    <w:rsid w:val="2E201707"/>
    <w:rsid w:val="2EA01913"/>
    <w:rsid w:val="303F4B5C"/>
    <w:rsid w:val="315D3530"/>
    <w:rsid w:val="318E519B"/>
    <w:rsid w:val="319F7F4E"/>
    <w:rsid w:val="32D61178"/>
    <w:rsid w:val="33FB516F"/>
    <w:rsid w:val="35BD1CFA"/>
    <w:rsid w:val="38564ADB"/>
    <w:rsid w:val="39496A81"/>
    <w:rsid w:val="3C34147B"/>
    <w:rsid w:val="3D462BF7"/>
    <w:rsid w:val="3DFA7FF1"/>
    <w:rsid w:val="3EC45D9C"/>
    <w:rsid w:val="405C24C1"/>
    <w:rsid w:val="41FF5901"/>
    <w:rsid w:val="44063643"/>
    <w:rsid w:val="48155294"/>
    <w:rsid w:val="495C4DC3"/>
    <w:rsid w:val="4B68574E"/>
    <w:rsid w:val="4C211717"/>
    <w:rsid w:val="4D946BA4"/>
    <w:rsid w:val="4DF31C80"/>
    <w:rsid w:val="4E2F0D1E"/>
    <w:rsid w:val="4E974799"/>
    <w:rsid w:val="4F1D6A59"/>
    <w:rsid w:val="502E6968"/>
    <w:rsid w:val="50507129"/>
    <w:rsid w:val="50D1623C"/>
    <w:rsid w:val="5152062E"/>
    <w:rsid w:val="536A7AE7"/>
    <w:rsid w:val="562E0A73"/>
    <w:rsid w:val="56AC1D07"/>
    <w:rsid w:val="5754243B"/>
    <w:rsid w:val="5B306AA8"/>
    <w:rsid w:val="611D4719"/>
    <w:rsid w:val="629C27C4"/>
    <w:rsid w:val="631F70BC"/>
    <w:rsid w:val="64BA0994"/>
    <w:rsid w:val="6599640F"/>
    <w:rsid w:val="65D2325F"/>
    <w:rsid w:val="689313A2"/>
    <w:rsid w:val="694A4C9F"/>
    <w:rsid w:val="6A6203C7"/>
    <w:rsid w:val="6B6644F1"/>
    <w:rsid w:val="6C5F7DD0"/>
    <w:rsid w:val="6D387677"/>
    <w:rsid w:val="704F6EC7"/>
    <w:rsid w:val="723C2169"/>
    <w:rsid w:val="75B975DF"/>
    <w:rsid w:val="785539EB"/>
    <w:rsid w:val="79DC4686"/>
    <w:rsid w:val="7B9E4F3F"/>
    <w:rsid w:val="7C17083C"/>
    <w:rsid w:val="7CAD0B26"/>
    <w:rsid w:val="7D775A74"/>
    <w:rsid w:val="7ED374D7"/>
    <w:rsid w:val="7EFB1726"/>
    <w:rsid w:val="7F1F11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Autospacing="1" w:afterAutospacing="1"/>
      <w:jc w:val="left"/>
    </w:pPr>
    <w:rPr>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列出段落1"/>
    <w:basedOn w:val="1"/>
    <w:qFormat/>
    <w:uiPriority w:val="34"/>
    <w:pPr>
      <w:ind w:firstLine="420" w:firstLineChars="200"/>
    </w:pPr>
  </w:style>
  <w:style w:type="paragraph" w:customStyle="1" w:styleId="32">
    <w:name w:val="无间隔1"/>
    <w:qFormat/>
    <w:uiPriority w:val="1"/>
    <w:pPr>
      <w:jc w:val="both"/>
      <w:textAlignment w:val="baseline"/>
    </w:pPr>
    <w:rPr>
      <w:rFonts w:ascii="Times New Roman" w:hAnsi="Times New Roman" w:eastAsia="宋体" w:cs="Times New Roman"/>
      <w:color w:val="000000"/>
      <w:sz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emf"/><Relationship Id="rId21" Type="http://schemas.openxmlformats.org/officeDocument/2006/relationships/oleObject" Target="embeddings/Workbook5.xls"/><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Workbook4.xls"/><Relationship Id="rId18" Type="http://schemas.openxmlformats.org/officeDocument/2006/relationships/image" Target="media/image3.emf"/><Relationship Id="rId17" Type="http://schemas.openxmlformats.org/officeDocument/2006/relationships/oleObject" Target="embeddings/Workbook3.xls"/><Relationship Id="rId16" Type="http://schemas.openxmlformats.org/officeDocument/2006/relationships/image" Target="media/image2.emf"/><Relationship Id="rId15" Type="http://schemas.openxmlformats.org/officeDocument/2006/relationships/oleObject" Target="embeddings/Workbook2.xls"/><Relationship Id="rId14" Type="http://schemas.openxmlformats.org/officeDocument/2006/relationships/image" Target="media/image1.emf"/><Relationship Id="rId13" Type="http://schemas.openxmlformats.org/officeDocument/2006/relationships/oleObject" Target="embeddings/Workbook1.xls"/><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收支情况表</a:t>
            </a:r>
          </a:p>
        </c:rich>
      </c:tx>
      <c:layout/>
      <c:overlay val="0"/>
      <c:spPr>
        <a:noFill/>
        <a:ln>
          <a:noFill/>
        </a:ln>
        <a:effectLst/>
      </c:spPr>
    </c:title>
    <c:autoTitleDeleted val="0"/>
    <c:plotArea>
      <c:layout>
        <c:manualLayout>
          <c:layoutTarget val="inner"/>
          <c:xMode val="edge"/>
          <c:yMode val="edge"/>
          <c:x val="0.058575"/>
          <c:y val="0.202"/>
          <c:w val="0.927925"/>
          <c:h val="0.716566666666667"/>
        </c:manualLayout>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delete val="1"/>
          </c:dLbls>
          <c:cat>
            <c:strRef>
              <c:f>Sheet1!$A$2</c:f>
              <c:strCache>
                <c:ptCount val="1"/>
                <c:pt idx="0">
                  <c:v>收支合计</c:v>
                </c:pt>
              </c:strCache>
            </c:strRef>
          </c:cat>
          <c:val>
            <c:numRef>
              <c:f>Sheet1!$B$2</c:f>
              <c:numCache>
                <c:formatCode>General</c:formatCode>
                <c:ptCount val="1"/>
                <c:pt idx="0">
                  <c:v>18.52</c:v>
                </c:pt>
              </c:numCache>
            </c:numRef>
          </c:val>
        </c:ser>
        <c:ser>
          <c:idx val="1"/>
          <c:order val="1"/>
          <c:tx>
            <c:strRef>
              <c:f>Sheet1!$C$1</c:f>
              <c:strCache>
                <c:ptCount val="1"/>
                <c:pt idx="0">
                  <c:v>2019</c:v>
                </c:pt>
              </c:strCache>
            </c:strRef>
          </c:tx>
          <c:spPr>
            <a:solidFill>
              <a:schemeClr val="accent2"/>
            </a:solidFill>
            <a:ln>
              <a:noFill/>
            </a:ln>
            <a:effectLst/>
          </c:spPr>
          <c:invertIfNegative val="0"/>
          <c:dLbls>
            <c:delete val="1"/>
          </c:dLbls>
          <c:cat>
            <c:strRef>
              <c:f>Sheet1!$A$2</c:f>
              <c:strCache>
                <c:ptCount val="1"/>
                <c:pt idx="0">
                  <c:v>收支合计</c:v>
                </c:pt>
              </c:strCache>
            </c:strRef>
          </c:cat>
          <c:val>
            <c:numRef>
              <c:f>Sheet1!$C$2</c:f>
              <c:numCache>
                <c:formatCode>General</c:formatCode>
                <c:ptCount val="1"/>
                <c:pt idx="0">
                  <c:v>32.4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收支合计</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51408000"/>
        <c:axId val="151422080"/>
      </c:barChart>
      <c:catAx>
        <c:axId val="15140800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1422080"/>
        <c:crosses val="autoZero"/>
        <c:auto val="1"/>
        <c:lblAlgn val="ctr"/>
        <c:lblOffset val="100"/>
        <c:noMultiLvlLbl val="0"/>
      </c:catAx>
      <c:valAx>
        <c:axId val="1514220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1408000"/>
        <c:crosses val="autoZero"/>
        <c:crossBetween val="between"/>
      </c:valAx>
      <c:spPr>
        <a:solidFill>
          <a:schemeClr val="bg1"/>
        </a:solidFill>
        <a:ln>
          <a:noFill/>
        </a:ln>
        <a:effectLst/>
      </c:spPr>
    </c:plotArea>
    <c:legend>
      <c:legendPos val="b"/>
      <c:legendEntry>
        <c:idx val="2"/>
        <c:delete val="1"/>
      </c:legendEntry>
      <c:layout>
        <c:manualLayout>
          <c:xMode val="edge"/>
          <c:yMode val="edge"/>
          <c:x val="0.3093125"/>
          <c:y val="0.931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9"/>
    <customShpInfo spid="_x0000_s1031"/>
    <customShpInfo spid="_x0000_s1033"/>
    <customShpInfo spid="_x0000_s1035"/>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43EE-B81B-42D2-BAAD-5A171F1B38D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4660</Words>
  <Characters>1813</Characters>
  <Lines>15</Lines>
  <Paragraphs>12</Paragraphs>
  <TotalTime>1</TotalTime>
  <ScaleCrop>false</ScaleCrop>
  <LinksUpToDate>false</LinksUpToDate>
  <CharactersWithSpaces>6461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傻妞儿</cp:lastModifiedBy>
  <cp:lastPrinted>2020-09-28T03:23:00Z</cp:lastPrinted>
  <dcterms:modified xsi:type="dcterms:W3CDTF">2021-09-27T08:03:51Z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92FFCD3119CD48C79FF20E220097B20E</vt:lpwstr>
  </property>
</Properties>
</file>